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E494B3" w14:textId="77777777" w:rsidR="00B91DB7" w:rsidRDefault="00775E8C">
      <w:pPr>
        <w:spacing w:line="240" w:lineRule="auto"/>
        <w:jc w:val="center"/>
        <w:rPr>
          <w:b/>
          <w:bCs/>
        </w:rPr>
      </w:pPr>
      <w:r>
        <w:rPr>
          <w:b/>
          <w:bCs/>
        </w:rPr>
        <w:t>UNITED STATES DISTRICT COURT</w:t>
      </w:r>
    </w:p>
    <w:p w14:paraId="3E2969C0" w14:textId="77777777" w:rsidR="00B91DB7" w:rsidRDefault="00775E8C">
      <w:pPr>
        <w:spacing w:line="240" w:lineRule="auto"/>
        <w:ind w:left="107"/>
        <w:jc w:val="center"/>
        <w:rPr>
          <w:b/>
          <w:bCs/>
        </w:rPr>
      </w:pPr>
      <w:r>
        <w:rPr>
          <w:b/>
          <w:bCs/>
        </w:rPr>
        <w:t>DISTRICT OF MOOT</w:t>
      </w:r>
    </w:p>
    <w:p w14:paraId="55CABE12" w14:textId="77777777" w:rsidR="00B91DB7" w:rsidRDefault="00775E8C">
      <w:pPr>
        <w:spacing w:line="240" w:lineRule="auto"/>
        <w:ind w:left="107"/>
        <w:jc w:val="center"/>
        <w:rPr>
          <w:b/>
          <w:bCs/>
        </w:rPr>
      </w:pPr>
      <w:r>
        <w:rPr>
          <w:b/>
          <w:bCs/>
        </w:rPr>
        <w:t>_____________________________________________________________________________</w:t>
      </w:r>
    </w:p>
    <w:p w14:paraId="5DEA91C7" w14:textId="77777777" w:rsidR="00B91DB7" w:rsidRDefault="00B91DB7">
      <w:pPr>
        <w:spacing w:line="240" w:lineRule="auto"/>
        <w:ind w:left="107"/>
        <w:rPr>
          <w:b/>
          <w:bCs/>
        </w:rPr>
      </w:pPr>
    </w:p>
    <w:p w14:paraId="0AE765F3" w14:textId="77777777" w:rsidR="00B91DB7" w:rsidRDefault="00CD6E26">
      <w:pPr>
        <w:spacing w:line="240" w:lineRule="auto"/>
        <w:ind w:left="107"/>
      </w:pPr>
      <w:r>
        <w:t>OG</w:t>
      </w:r>
      <w:r w:rsidR="00D01DE3">
        <w:t>S</w:t>
      </w:r>
      <w:r w:rsidR="00775E8C">
        <w:t xml:space="preserve"> TV, INC.</w:t>
      </w:r>
      <w:r w:rsidR="00775E8C">
        <w:tab/>
      </w:r>
      <w:r w:rsidR="00775E8C">
        <w:tab/>
      </w:r>
      <w:r w:rsidR="00775E8C">
        <w:tab/>
      </w:r>
      <w:r w:rsidR="00775E8C">
        <w:tab/>
      </w:r>
      <w:r w:rsidR="00775E8C">
        <w:tab/>
      </w:r>
      <w:r w:rsidR="00775E8C">
        <w:tab/>
        <w:t>Case File No. 27-CV-12-1234</w:t>
      </w:r>
    </w:p>
    <w:p w14:paraId="6A3EC8E8" w14:textId="77777777" w:rsidR="00B91DB7" w:rsidRDefault="00775E8C">
      <w:pPr>
        <w:spacing w:line="240" w:lineRule="auto"/>
        <w:ind w:left="107"/>
      </w:pPr>
      <w:r>
        <w:tab/>
      </w:r>
      <w:r>
        <w:tab/>
      </w:r>
      <w:r>
        <w:tab/>
      </w:r>
      <w:r>
        <w:tab/>
        <w:t>Plaintiff,</w:t>
      </w:r>
    </w:p>
    <w:p w14:paraId="05AE5DE0" w14:textId="77777777" w:rsidR="00B91DB7" w:rsidRDefault="00775E8C">
      <w:pPr>
        <w:spacing w:line="240" w:lineRule="auto"/>
        <w:ind w:left="107"/>
      </w:pPr>
      <w:r>
        <w:t>v.</w:t>
      </w:r>
    </w:p>
    <w:p w14:paraId="0D541BF1" w14:textId="77777777" w:rsidR="00B91DB7" w:rsidRDefault="00775E8C">
      <w:pPr>
        <w:spacing w:line="240" w:lineRule="auto"/>
        <w:ind w:left="107"/>
        <w:rPr>
          <w:b/>
          <w:bCs/>
        </w:rPr>
      </w:pPr>
      <w:r>
        <w:tab/>
      </w:r>
      <w:r>
        <w:tab/>
      </w:r>
      <w:r>
        <w:tab/>
      </w:r>
      <w:r>
        <w:tab/>
      </w:r>
      <w:r>
        <w:tab/>
      </w:r>
      <w:r>
        <w:tab/>
      </w:r>
      <w:r>
        <w:tab/>
      </w:r>
      <w:r>
        <w:tab/>
      </w:r>
      <w:r>
        <w:rPr>
          <w:b/>
          <w:bCs/>
        </w:rPr>
        <w:t xml:space="preserve">MEMORANDUM IN SUPPORT </w:t>
      </w:r>
      <w:r>
        <w:t>ELIZABETH LIME and TINYTV, INC.</w:t>
      </w:r>
      <w:r>
        <w:tab/>
      </w:r>
      <w:r>
        <w:tab/>
      </w:r>
      <w:r>
        <w:tab/>
      </w:r>
      <w:r>
        <w:rPr>
          <w:b/>
          <w:bCs/>
        </w:rPr>
        <w:t xml:space="preserve">OF DEFENDANT'S MOTION </w:t>
      </w:r>
      <w:r>
        <w:rPr>
          <w:b/>
          <w:bCs/>
        </w:rPr>
        <w:tab/>
      </w:r>
      <w:r>
        <w:rPr>
          <w:b/>
          <w:bCs/>
        </w:rPr>
        <w:tab/>
      </w:r>
      <w:r>
        <w:rPr>
          <w:b/>
          <w:bCs/>
        </w:rPr>
        <w:tab/>
      </w:r>
      <w:r>
        <w:rPr>
          <w:b/>
          <w:bCs/>
        </w:rPr>
        <w:tab/>
      </w:r>
      <w:r>
        <w:rPr>
          <w:b/>
          <w:bCs/>
        </w:rPr>
        <w:tab/>
      </w:r>
      <w:r>
        <w:rPr>
          <w:b/>
          <w:bCs/>
        </w:rPr>
        <w:tab/>
      </w:r>
      <w:r>
        <w:rPr>
          <w:b/>
          <w:bCs/>
        </w:rPr>
        <w:tab/>
      </w:r>
      <w:r>
        <w:rPr>
          <w:b/>
          <w:bCs/>
        </w:rPr>
        <w:tab/>
      </w:r>
      <w:r>
        <w:rPr>
          <w:b/>
          <w:bCs/>
        </w:rPr>
        <w:tab/>
        <w:t>TO DISMISS</w:t>
      </w:r>
    </w:p>
    <w:p w14:paraId="6EC09D8D" w14:textId="77777777" w:rsidR="00B91DB7" w:rsidRDefault="00775E8C">
      <w:pPr>
        <w:spacing w:line="240" w:lineRule="auto"/>
        <w:ind w:left="107"/>
      </w:pPr>
      <w:r>
        <w:rPr>
          <w:b/>
          <w:bCs/>
        </w:rPr>
        <w:tab/>
      </w:r>
      <w:r>
        <w:rPr>
          <w:b/>
          <w:bCs/>
        </w:rPr>
        <w:tab/>
      </w:r>
      <w:r>
        <w:rPr>
          <w:b/>
          <w:bCs/>
        </w:rPr>
        <w:tab/>
      </w:r>
      <w:r>
        <w:rPr>
          <w:b/>
          <w:bCs/>
        </w:rPr>
        <w:tab/>
      </w:r>
      <w:r>
        <w:t>Defendants.</w:t>
      </w:r>
    </w:p>
    <w:p w14:paraId="6E69227B" w14:textId="77777777" w:rsidR="00B91DB7" w:rsidRDefault="00775E8C">
      <w:pPr>
        <w:spacing w:line="240" w:lineRule="auto"/>
        <w:ind w:left="107"/>
      </w:pPr>
      <w:r>
        <w:t>_____________________________________________________________________________</w:t>
      </w:r>
    </w:p>
    <w:p w14:paraId="525CB70D" w14:textId="77777777" w:rsidR="00B91DB7" w:rsidRDefault="00B91DB7">
      <w:pPr>
        <w:spacing w:line="240" w:lineRule="auto"/>
        <w:ind w:left="107"/>
      </w:pPr>
    </w:p>
    <w:p w14:paraId="49E75CFE" w14:textId="77777777" w:rsidR="00B91DB7" w:rsidRDefault="00775E8C">
      <w:pPr>
        <w:ind w:left="107"/>
        <w:jc w:val="center"/>
        <w:rPr>
          <w:b/>
          <w:bCs/>
          <w:u w:val="single"/>
        </w:rPr>
      </w:pPr>
      <w:r>
        <w:rPr>
          <w:b/>
          <w:bCs/>
          <w:u w:val="single"/>
        </w:rPr>
        <w:t>INTRODUCTION</w:t>
      </w:r>
    </w:p>
    <w:p w14:paraId="4BE74BFF" w14:textId="77777777" w:rsidR="00B91DB7" w:rsidRDefault="003E12B2" w:rsidP="00BC1FBA">
      <w:pPr>
        <w:ind w:left="107"/>
      </w:pPr>
      <w:r>
        <w:tab/>
      </w:r>
      <w:r w:rsidR="00775E8C">
        <w:t>Plain</w:t>
      </w:r>
      <w:r w:rsidR="00BC1FBA">
        <w:t>tiff OSG TV, Inc. (“OSG”) filed a c</w:t>
      </w:r>
      <w:r w:rsidR="00775E8C">
        <w:t>omplaint</w:t>
      </w:r>
      <w:r w:rsidR="00BC1FBA">
        <w:t xml:space="preserve"> against Liz Lime (“Lime”) to enforce a work-for-hire agreement under the Copyright Act of 1976 § 101. The Plaintiff’s claim is without merit. Section 101 </w:t>
      </w:r>
      <w:r w:rsidR="00775E8C">
        <w:t>requires the express written agreement between the parties to be signed pri</w:t>
      </w:r>
      <w:r w:rsidR="006958F3">
        <w:t xml:space="preserve">or to the creation of the work.  </w:t>
      </w:r>
      <w:r w:rsidR="00775E8C">
        <w:t>The Copyright Act’s structural design and legislative history overwhelmingly support this interpretation of the statute, as does case</w:t>
      </w:r>
      <w:r w:rsidR="00FD14A4">
        <w:t xml:space="preserve"> law and public policy</w:t>
      </w:r>
      <w:r w:rsidR="00775E8C">
        <w:t xml:space="preserve">. </w:t>
      </w:r>
      <w:r w:rsidR="006958F3">
        <w:t xml:space="preserve"> </w:t>
      </w:r>
      <w:r w:rsidR="00651F88">
        <w:t>T</w:t>
      </w:r>
      <w:r w:rsidR="00775E8C">
        <w:t xml:space="preserve">he Plaintiff’s allegations </w:t>
      </w:r>
      <w:r w:rsidR="003E015B">
        <w:t xml:space="preserve">for copyright infringement are grounded in the false assertion that </w:t>
      </w:r>
      <w:r w:rsidR="00775E8C">
        <w:t>the written agreement is not requ</w:t>
      </w:r>
      <w:r w:rsidR="00651F88">
        <w:t>ired to be signed at the outset. Accordingly,</w:t>
      </w:r>
      <w:r w:rsidR="00775E8C">
        <w:t xml:space="preserve"> the Complaint fails to state a claim upon which relief can be granted.</w:t>
      </w:r>
      <w:r w:rsidR="006958F3">
        <w:t xml:space="preserve"> </w:t>
      </w:r>
      <w:r w:rsidR="00775E8C">
        <w:t xml:space="preserve"> Defendants Elizabeth Lime (“Lime”) and TinyTV, Inc. (“TinyTV”) urge the Court to dismiss Plaintiff’s Complaint with prejudice.  </w:t>
      </w:r>
    </w:p>
    <w:p w14:paraId="035B59AC" w14:textId="77777777" w:rsidR="00B91DB7" w:rsidRDefault="00775E8C">
      <w:pPr>
        <w:ind w:left="107"/>
        <w:jc w:val="center"/>
        <w:rPr>
          <w:b/>
          <w:bCs/>
          <w:u w:val="single"/>
        </w:rPr>
      </w:pPr>
      <w:r>
        <w:rPr>
          <w:b/>
          <w:bCs/>
          <w:u w:val="single"/>
        </w:rPr>
        <w:t>FACTUAL BACKGROUND</w:t>
      </w:r>
    </w:p>
    <w:p w14:paraId="628BBB67" w14:textId="77777777" w:rsidR="00B91DB7" w:rsidRDefault="00775E8C" w:rsidP="00BC1FBA">
      <w:pPr>
        <w:ind w:firstLine="720"/>
      </w:pPr>
      <w:r>
        <w:t>The Plaintiff is OSG, a television network incorporated in the state of Moot. (Compl. ¶ 2</w:t>
      </w:r>
      <w:r w:rsidR="006958F3">
        <w:t>.</w:t>
      </w:r>
      <w:r>
        <w:t xml:space="preserve">) </w:t>
      </w:r>
      <w:r w:rsidR="006958F3">
        <w:t xml:space="preserve"> </w:t>
      </w:r>
      <w:r>
        <w:t xml:space="preserve">The Plaintiff produced and aired the original television series, </w:t>
      </w:r>
      <w:r>
        <w:rPr>
          <w:i/>
          <w:iCs/>
        </w:rPr>
        <w:t>Lawless Love</w:t>
      </w:r>
      <w:r>
        <w:t>. (</w:t>
      </w:r>
      <w:r>
        <w:rPr>
          <w:i/>
          <w:iCs/>
        </w:rPr>
        <w:t>Id</w:t>
      </w:r>
      <w:r>
        <w:t>. ¶ 5</w:t>
      </w:r>
      <w:r w:rsidR="006958F3">
        <w:t>.</w:t>
      </w:r>
      <w:r>
        <w:t>)</w:t>
      </w:r>
      <w:r w:rsidR="006958F3">
        <w:t xml:space="preserve"> </w:t>
      </w:r>
      <w:r>
        <w:t xml:space="preserve"> On March 27, 2010, Plaintiff contacted </w:t>
      </w:r>
      <w:r w:rsidR="00651F88">
        <w:t xml:space="preserve">the </w:t>
      </w:r>
      <w:r>
        <w:t xml:space="preserve">defendant Ms. Lime, a well-known television writer, to commission from her a screenplay for one episode of </w:t>
      </w:r>
      <w:r>
        <w:rPr>
          <w:i/>
          <w:iCs/>
        </w:rPr>
        <w:t>Lawless Love</w:t>
      </w:r>
      <w:r>
        <w:rPr>
          <w:iCs/>
        </w:rPr>
        <w:t>. (</w:t>
      </w:r>
      <w:r>
        <w:rPr>
          <w:i/>
          <w:iCs/>
        </w:rPr>
        <w:t>Id</w:t>
      </w:r>
      <w:r>
        <w:t>. ¶¶ 9, 11</w:t>
      </w:r>
      <w:r w:rsidR="006958F3">
        <w:t>.</w:t>
      </w:r>
      <w:r>
        <w:t>)</w:t>
      </w:r>
      <w:r w:rsidR="006958F3">
        <w:t xml:space="preserve"> </w:t>
      </w:r>
      <w:r>
        <w:rPr>
          <w:iCs/>
        </w:rPr>
        <w:t xml:space="preserve"> On the same day Dave Nelson ("Nelson"), the executive producer of the show and employee and agent of the Plaintiff, met with Ms. Lime in the office of the Plaintiff</w:t>
      </w:r>
      <w:r w:rsidR="006958F3">
        <w:rPr>
          <w:iCs/>
        </w:rPr>
        <w:t>.</w:t>
      </w:r>
      <w:r>
        <w:rPr>
          <w:iCs/>
        </w:rPr>
        <w:t xml:space="preserve"> (</w:t>
      </w:r>
      <w:r>
        <w:rPr>
          <w:i/>
          <w:iCs/>
        </w:rPr>
        <w:t>Id</w:t>
      </w:r>
      <w:r>
        <w:t>. ¶¶ 10, 12</w:t>
      </w:r>
      <w:r w:rsidR="006958F3">
        <w:t>.</w:t>
      </w:r>
      <w:r>
        <w:t>)</w:t>
      </w:r>
      <w:r w:rsidR="006958F3">
        <w:t xml:space="preserve"> </w:t>
      </w:r>
      <w:r>
        <w:t xml:space="preserve"> During the meeting </w:t>
      </w:r>
      <w:r>
        <w:lastRenderedPageBreak/>
        <w:t>Ms. Lime entered into an oral agreement t</w:t>
      </w:r>
      <w:r w:rsidR="00FD14A4">
        <w:t xml:space="preserve">o prepare a work made for hire </w:t>
      </w:r>
      <w:r w:rsidR="00BC1FBA">
        <w:t>s</w:t>
      </w:r>
      <w:r>
        <w:t>creenplay</w:t>
      </w:r>
      <w:r w:rsidR="00BC1FBA">
        <w:t xml:space="preserve"> f</w:t>
      </w:r>
      <w:r>
        <w:t>or the Plaintiff by April 1, 2010 for $6,000. (</w:t>
      </w:r>
      <w:r>
        <w:rPr>
          <w:i/>
          <w:iCs/>
        </w:rPr>
        <w:t>Id</w:t>
      </w:r>
      <w:r>
        <w:t>. ¶¶ 13-18</w:t>
      </w:r>
      <w:r w:rsidR="006958F3">
        <w:t xml:space="preserve">.) </w:t>
      </w:r>
      <w:r>
        <w:t xml:space="preserve"> Mr. Nelson told Ms. Lime during the meeting that he wanted her to begin work immediately and paperwork could be signed later.</w:t>
      </w:r>
      <w:r w:rsidR="006958F3">
        <w:t xml:space="preserve"> </w:t>
      </w:r>
      <w:r>
        <w:t>(</w:t>
      </w:r>
      <w:r>
        <w:rPr>
          <w:i/>
          <w:iCs/>
        </w:rPr>
        <w:t>Id</w:t>
      </w:r>
      <w:r>
        <w:t>. ¶ 20</w:t>
      </w:r>
      <w:r w:rsidR="006958F3">
        <w:t>.</w:t>
      </w:r>
      <w:r>
        <w:t>)</w:t>
      </w:r>
      <w:r w:rsidR="006958F3">
        <w:t xml:space="preserve"> </w:t>
      </w:r>
      <w:r>
        <w:t xml:space="preserve"> On April 1, 2010, Ms. Lime submitted a screenplay to Plaintiff entitled, “Anticipatory Repudiation.” (</w:t>
      </w:r>
      <w:r>
        <w:rPr>
          <w:i/>
          <w:iCs/>
        </w:rPr>
        <w:t>Id</w:t>
      </w:r>
      <w:r>
        <w:t>. ¶ 21</w:t>
      </w:r>
      <w:r w:rsidR="006958F3">
        <w:t>.</w:t>
      </w:r>
      <w:r>
        <w:t>)</w:t>
      </w:r>
    </w:p>
    <w:p w14:paraId="25A146CC" w14:textId="77777777" w:rsidR="00B91DB7" w:rsidRDefault="00775E8C" w:rsidP="00BC1FBA">
      <w:pPr>
        <w:ind w:firstLine="720"/>
      </w:pPr>
      <w:r>
        <w:t>On April 6, 2010, Ms. Lime collected her check for $6,000 for the screenplay she wrote and signed a document labeled “Work-Made-For-Hire Agreement” after the work had been commissioned. (</w:t>
      </w:r>
      <w:r>
        <w:rPr>
          <w:i/>
          <w:iCs/>
        </w:rPr>
        <w:t xml:space="preserve">Id. </w:t>
      </w:r>
      <w:r>
        <w:t>¶ 24</w:t>
      </w:r>
      <w:r w:rsidR="006958F3">
        <w:t>.</w:t>
      </w:r>
      <w:r>
        <w:t>)</w:t>
      </w:r>
      <w:r w:rsidR="006958F3">
        <w:t xml:space="preserve"> </w:t>
      </w:r>
      <w:r>
        <w:t xml:space="preserve"> On the same day Mr. Nelson signed the same “Work-Made-For-Hire Agreement.” (</w:t>
      </w:r>
      <w:r>
        <w:rPr>
          <w:i/>
          <w:iCs/>
        </w:rPr>
        <w:t>Id</w:t>
      </w:r>
      <w:r>
        <w:t>. ¶ 25</w:t>
      </w:r>
      <w:r w:rsidR="006958F3">
        <w:t>.</w:t>
      </w:r>
      <w:r>
        <w:t>)</w:t>
      </w:r>
      <w:r w:rsidR="006958F3">
        <w:t xml:space="preserve"> </w:t>
      </w:r>
      <w:r>
        <w:t xml:space="preserve"> By June 10, 2010, the spring television season had ended and Lime</w:t>
      </w:r>
      <w:r w:rsidR="00BC1FBA">
        <w:t>’s screenplay had not been</w:t>
      </w:r>
      <w:r>
        <w:t xml:space="preserve"> performed as an episode on </w:t>
      </w:r>
      <w:r>
        <w:rPr>
          <w:i/>
          <w:iCs/>
        </w:rPr>
        <w:t>Lawless Love</w:t>
      </w:r>
      <w:r>
        <w:t>. (</w:t>
      </w:r>
      <w:r>
        <w:rPr>
          <w:i/>
          <w:iCs/>
        </w:rPr>
        <w:t xml:space="preserve">Id. </w:t>
      </w:r>
      <w:r>
        <w:t>¶ 26</w:t>
      </w:r>
      <w:r w:rsidR="006958F3">
        <w:t>.</w:t>
      </w:r>
      <w:r>
        <w:t>)</w:t>
      </w:r>
      <w:r w:rsidR="006958F3">
        <w:t xml:space="preserve"> </w:t>
      </w:r>
      <w:r>
        <w:t xml:space="preserve"> In August 2010, Ms. Lime and the other defendant in this case, TinyTV, working in concert, created a new television series called </w:t>
      </w:r>
      <w:r>
        <w:rPr>
          <w:i/>
          <w:iCs/>
        </w:rPr>
        <w:t xml:space="preserve">The Tin Can </w:t>
      </w:r>
      <w:r>
        <w:t>and produced a screenplay for the pilot episode</w:t>
      </w:r>
      <w:r>
        <w:rPr>
          <w:iCs/>
        </w:rPr>
        <w:t>. (</w:t>
      </w:r>
      <w:r>
        <w:rPr>
          <w:i/>
        </w:rPr>
        <w:t>Id.</w:t>
      </w:r>
      <w:r>
        <w:rPr>
          <w:iCs/>
        </w:rPr>
        <w:t xml:space="preserve"> </w:t>
      </w:r>
      <w:r>
        <w:t>¶¶ 27, 28</w:t>
      </w:r>
      <w:r w:rsidR="006958F3">
        <w:t>.</w:t>
      </w:r>
      <w:r>
        <w:t>)</w:t>
      </w:r>
      <w:r w:rsidR="006958F3">
        <w:t xml:space="preserve"> </w:t>
      </w:r>
      <w:r>
        <w:t xml:space="preserve"> On September 7, 2010, Defendants produced and performed the pilot episode of </w:t>
      </w:r>
      <w:r>
        <w:rPr>
          <w:i/>
          <w:iCs/>
        </w:rPr>
        <w:t>The Tin Can,</w:t>
      </w:r>
      <w:r>
        <w:t xml:space="preserve"> which bore a resemblance to the earlier screenplay that Ms. Lime created for the Plaintiff OSG. (</w:t>
      </w:r>
      <w:r>
        <w:rPr>
          <w:i/>
          <w:iCs/>
        </w:rPr>
        <w:t xml:space="preserve">Id. </w:t>
      </w:r>
      <w:r>
        <w:t>¶ 29</w:t>
      </w:r>
      <w:r w:rsidR="006958F3">
        <w:t>.</w:t>
      </w:r>
      <w:r>
        <w:t>)</w:t>
      </w:r>
      <w:r w:rsidR="006958F3">
        <w:t xml:space="preserve"> </w:t>
      </w:r>
      <w:r>
        <w:t xml:space="preserve"> Plaintiff alleges that the Defendants’ actions damaged Plaintiff in the amount of $86,000. (</w:t>
      </w:r>
      <w:r>
        <w:rPr>
          <w:i/>
          <w:iCs/>
        </w:rPr>
        <w:t>Id.</w:t>
      </w:r>
      <w:r>
        <w:t xml:space="preserve"> ¶ 30</w:t>
      </w:r>
      <w:r w:rsidR="006958F3">
        <w:t>.</w:t>
      </w:r>
      <w:r>
        <w:t>)</w:t>
      </w:r>
      <w:r w:rsidR="006958F3">
        <w:t xml:space="preserve"> </w:t>
      </w:r>
      <w:r>
        <w:t xml:space="preserve"> On September 15, 2010, Plaintiff notified Ms. Lime and TinyTV that they had infringed, and were infringing, Plaintiff’s alleged copyright. (</w:t>
      </w:r>
      <w:r>
        <w:rPr>
          <w:i/>
          <w:iCs/>
        </w:rPr>
        <w:t xml:space="preserve">Id. </w:t>
      </w:r>
      <w:r>
        <w:t>¶ 33</w:t>
      </w:r>
      <w:r w:rsidR="006958F3">
        <w:t>.</w:t>
      </w:r>
      <w:r>
        <w:t>)</w:t>
      </w:r>
    </w:p>
    <w:p w14:paraId="3725B48F" w14:textId="77777777" w:rsidR="00B91DB7" w:rsidRDefault="00775E8C" w:rsidP="00BC1FBA">
      <w:pPr>
        <w:ind w:firstLine="720"/>
      </w:pPr>
      <w:r>
        <w:t>On January 17, 2012, Plaintiff brought this suit for injunctive relief and compensatory damages under the Copyright Act of 1976, 17 U.S.C. § 101.</w:t>
      </w:r>
      <w:r w:rsidR="006958F3">
        <w:t xml:space="preserve"> </w:t>
      </w:r>
      <w:r>
        <w:t xml:space="preserve"> On January</w:t>
      </w:r>
      <w:r w:rsidR="000B2EDA">
        <w:t xml:space="preserve"> 23, 2012, Defendants Answered.</w:t>
      </w:r>
    </w:p>
    <w:p w14:paraId="3C8CB17C" w14:textId="77777777" w:rsidR="00B91DB7" w:rsidRDefault="00775E8C" w:rsidP="00BC1FBA">
      <w:pPr>
        <w:ind w:firstLine="720"/>
      </w:pPr>
      <w:r>
        <w:t>In response, Judge Beatrice Fair asked each party to prepare a memorandum assessing</w:t>
      </w:r>
      <w:r w:rsidR="00BC1FBA">
        <w:t xml:space="preserve"> whether or not a work made for hire agreement required a signed written agreement prior to the creation of the work</w:t>
      </w:r>
      <w:r>
        <w:t xml:space="preserve">. </w:t>
      </w:r>
      <w:r w:rsidR="006958F3">
        <w:t xml:space="preserve"> </w:t>
      </w:r>
      <w:r>
        <w:t xml:space="preserve">While Ms. Lime and TinyTV do not accept the accuracy of OGS’s </w:t>
      </w:r>
      <w:r>
        <w:lastRenderedPageBreak/>
        <w:t>allegations, it is their position that § 101(2)’s requirement for a signed writing only creates a work made for hire if the written agreement was signed prior to the creation of the work.</w:t>
      </w:r>
      <w:r w:rsidR="006958F3">
        <w:t xml:space="preserve"> </w:t>
      </w:r>
      <w:r>
        <w:t xml:space="preserve"> In accordance, Defendants submit this memorandum in support of their motion to dismiss Plaintiff’s Complaint with prejudice, pursuant to Federal Rule of Civil Procedure 12(b)(6).</w:t>
      </w:r>
    </w:p>
    <w:p w14:paraId="7C81AC39" w14:textId="77777777" w:rsidR="000B2EDA" w:rsidRDefault="000B2EDA" w:rsidP="000B2EDA">
      <w:pPr>
        <w:ind w:firstLine="720"/>
        <w:jc w:val="center"/>
        <w:rPr>
          <w:b/>
          <w:bCs/>
          <w:u w:val="single"/>
        </w:rPr>
      </w:pPr>
      <w:r>
        <w:rPr>
          <w:b/>
          <w:bCs/>
          <w:u w:val="single"/>
        </w:rPr>
        <w:t>STANDARD OF REVIEW</w:t>
      </w:r>
    </w:p>
    <w:p w14:paraId="15B9002B" w14:textId="77777777" w:rsidR="000B2EDA" w:rsidRPr="000B2EDA" w:rsidRDefault="000B2EDA" w:rsidP="00882088">
      <w:pPr>
        <w:ind w:firstLine="720"/>
      </w:pPr>
      <w:r>
        <w:tab/>
        <w:t xml:space="preserve">In viewing a 12(b)(6) Motion to Dismiss, courts first accept the non-conclusory factual allegations as true, then whether such allegations “cross the line from conceivable to plausible” based on “judicial experience and common sense.”  </w:t>
      </w:r>
      <w:proofErr w:type="gramStart"/>
      <w:r>
        <w:rPr>
          <w:i/>
          <w:iCs/>
        </w:rPr>
        <w:t xml:space="preserve">Ashcroft v. </w:t>
      </w:r>
      <w:proofErr w:type="spellStart"/>
      <w:r>
        <w:rPr>
          <w:i/>
          <w:iCs/>
        </w:rPr>
        <w:t>Iqbal</w:t>
      </w:r>
      <w:proofErr w:type="spellEnd"/>
      <w:r>
        <w:t>, 129 U.S. 1937, 1950 (2009).</w:t>
      </w:r>
      <w:proofErr w:type="gramEnd"/>
      <w:r>
        <w:t xml:space="preserve">  Plaintiffs need not state “detailed factual accusations.”  </w:t>
      </w:r>
      <w:r w:rsidRPr="000B2EDA">
        <w:rPr>
          <w:i/>
          <w:iCs/>
        </w:rPr>
        <w:t xml:space="preserve">Bell Atlantic Corp. v. </w:t>
      </w:r>
      <w:proofErr w:type="spellStart"/>
      <w:r w:rsidRPr="000B2EDA">
        <w:rPr>
          <w:i/>
          <w:iCs/>
        </w:rPr>
        <w:t>Twombly</w:t>
      </w:r>
      <w:proofErr w:type="spellEnd"/>
      <w:r>
        <w:t>, 550 U.S. 544, 555 (2007).  If a complaint stat</w:t>
      </w:r>
      <w:r w:rsidR="00882088">
        <w:t>es a plausible claim for relief</w:t>
      </w:r>
      <w:r>
        <w:t xml:space="preserve"> it should survive a 12(b)(6) Motion to Dismiss.  </w:t>
      </w:r>
      <w:r>
        <w:rPr>
          <w:i/>
          <w:iCs/>
        </w:rPr>
        <w:t>Ashcroft</w:t>
      </w:r>
      <w:r>
        <w:t>, 123 U.S. at 1949.  The Copyright Act of 1976 requires a written agreement to be signed by both parties preceding the creation of the work</w:t>
      </w:r>
      <w:r w:rsidR="00882088">
        <w:t xml:space="preserve"> without exception.</w:t>
      </w:r>
      <w:r>
        <w:t xml:space="preserve">  </w:t>
      </w:r>
      <w:r w:rsidR="00882088">
        <w:t>T</w:t>
      </w:r>
      <w:r>
        <w:t xml:space="preserve">he Plaintiff has </w:t>
      </w:r>
      <w:r w:rsidR="00882088">
        <w:t>failed to state a claim where relief may be granted by not meeting the necessary standards.  Accordingly, this</w:t>
      </w:r>
      <w:r w:rsidR="0060312B">
        <w:t xml:space="preserve"> action should be dismissed with prejudice.</w:t>
      </w:r>
    </w:p>
    <w:p w14:paraId="75483607" w14:textId="77777777" w:rsidR="00B91DB7" w:rsidRDefault="00775E8C">
      <w:pPr>
        <w:ind w:firstLine="720"/>
        <w:jc w:val="center"/>
        <w:rPr>
          <w:b/>
          <w:bCs/>
          <w:u w:val="single"/>
        </w:rPr>
      </w:pPr>
      <w:r>
        <w:rPr>
          <w:b/>
          <w:bCs/>
          <w:u w:val="single"/>
        </w:rPr>
        <w:t>ARGUMENT</w:t>
      </w:r>
    </w:p>
    <w:p w14:paraId="6E4DA486" w14:textId="77777777" w:rsidR="00B91DB7" w:rsidRDefault="00775E8C" w:rsidP="00CD13BC">
      <w:pPr>
        <w:spacing w:line="240" w:lineRule="auto"/>
        <w:jc w:val="center"/>
        <w:rPr>
          <w:b/>
          <w:bCs/>
        </w:rPr>
      </w:pPr>
      <w:r>
        <w:rPr>
          <w:b/>
          <w:bCs/>
        </w:rPr>
        <w:t xml:space="preserve">A </w:t>
      </w:r>
      <w:r w:rsidR="00651F88">
        <w:rPr>
          <w:b/>
          <w:bCs/>
        </w:rPr>
        <w:t>“</w:t>
      </w:r>
      <w:r>
        <w:rPr>
          <w:b/>
          <w:bCs/>
        </w:rPr>
        <w:t>WORKS MADE FOR HIRE AGREEMENT</w:t>
      </w:r>
      <w:r w:rsidR="00651F88">
        <w:rPr>
          <w:b/>
          <w:bCs/>
        </w:rPr>
        <w:t>”</w:t>
      </w:r>
      <w:r>
        <w:rPr>
          <w:b/>
          <w:bCs/>
        </w:rPr>
        <w:t xml:space="preserve"> MUST BE EXPRESSLY SIGNED BY BOTH PARTIES PRECEDING THE CREATION OF THE WORK.</w:t>
      </w:r>
    </w:p>
    <w:p w14:paraId="33AD9DCB" w14:textId="77777777" w:rsidR="00D810C3" w:rsidRDefault="00D810C3" w:rsidP="00CD13BC">
      <w:pPr>
        <w:spacing w:line="240" w:lineRule="auto"/>
        <w:jc w:val="center"/>
        <w:rPr>
          <w:b/>
          <w:bCs/>
        </w:rPr>
      </w:pPr>
    </w:p>
    <w:p w14:paraId="268B4AFE" w14:textId="77777777" w:rsidR="00F16EA5" w:rsidRDefault="00D810C3" w:rsidP="00D810C3">
      <w:pPr>
        <w:spacing w:line="240" w:lineRule="auto"/>
        <w:ind w:firstLine="720"/>
      </w:pPr>
      <w:r>
        <w:t xml:space="preserve">The two relevant provision in the 1976 Copyright Act in question are § 101 and § 201(b). </w:t>
      </w:r>
    </w:p>
    <w:p w14:paraId="48C8A85F" w14:textId="77777777" w:rsidR="00D810C3" w:rsidRDefault="00F16EA5" w:rsidP="00F16EA5">
      <w:pPr>
        <w:spacing w:line="240" w:lineRule="auto"/>
      </w:pPr>
      <w:r>
        <w:br/>
      </w:r>
      <w:r w:rsidR="00D810C3">
        <w:t xml:space="preserve">Section </w:t>
      </w:r>
      <w:r>
        <w:t>101 provides that a work made for hire is:</w:t>
      </w:r>
    </w:p>
    <w:p w14:paraId="54F023E5" w14:textId="77777777" w:rsidR="00F16EA5" w:rsidRDefault="00F16EA5" w:rsidP="00F16EA5">
      <w:pPr>
        <w:spacing w:line="240" w:lineRule="auto"/>
        <w:ind w:left="720" w:right="720"/>
        <w:jc w:val="both"/>
      </w:pPr>
    </w:p>
    <w:p w14:paraId="1B9DEACD" w14:textId="77777777" w:rsidR="00F16EA5" w:rsidRDefault="00F16EA5" w:rsidP="00F16EA5">
      <w:pPr>
        <w:spacing w:line="240" w:lineRule="auto"/>
        <w:ind w:left="720" w:right="720"/>
        <w:jc w:val="both"/>
      </w:pPr>
      <w:r w:rsidRPr="00F16EA5">
        <w:t>a work specially ordered or commissioned for use as a contribution to a collective work, as a part of a motion picture or other audiovisual work, as a translation, as a supplementary work, as a compilation, as an instructional text, as a test, as answer material for a test, or as an atlas, if the parties expressly agree in a written instrument signed by them that the work shall be considered a work made for hire</w:t>
      </w:r>
      <w:r>
        <w:t>.</w:t>
      </w:r>
    </w:p>
    <w:p w14:paraId="14456F73" w14:textId="77777777" w:rsidR="00F16EA5" w:rsidRDefault="00F16EA5" w:rsidP="00F16EA5">
      <w:pPr>
        <w:spacing w:line="240" w:lineRule="auto"/>
        <w:ind w:left="720" w:right="720"/>
        <w:jc w:val="both"/>
      </w:pPr>
    </w:p>
    <w:p w14:paraId="46D1525D" w14:textId="77777777" w:rsidR="00F16EA5" w:rsidRDefault="00F16EA5" w:rsidP="00F16EA5">
      <w:pPr>
        <w:spacing w:line="240" w:lineRule="auto"/>
        <w:ind w:right="720"/>
        <w:jc w:val="both"/>
      </w:pPr>
      <w:r>
        <w:t>Section 201(b) provides:</w:t>
      </w:r>
    </w:p>
    <w:p w14:paraId="67518D7A" w14:textId="77777777" w:rsidR="00F16EA5" w:rsidRDefault="00F16EA5" w:rsidP="00F16EA5">
      <w:pPr>
        <w:spacing w:line="240" w:lineRule="auto"/>
        <w:ind w:left="720" w:right="720"/>
        <w:jc w:val="both"/>
      </w:pPr>
    </w:p>
    <w:p w14:paraId="3EAD7D67" w14:textId="77777777" w:rsidR="00D810C3" w:rsidRPr="00D810C3" w:rsidRDefault="00F16EA5" w:rsidP="00F16EA5">
      <w:pPr>
        <w:spacing w:line="240" w:lineRule="auto"/>
        <w:ind w:left="720" w:right="720"/>
        <w:jc w:val="both"/>
      </w:pPr>
      <w:r w:rsidRPr="00F16EA5">
        <w:lastRenderedPageBreak/>
        <w:t>In the case of a work made for hire, the employer or other person for whom the work was prepared is considered the author for purposes of this title, and, unless the parties have expressly agreed otherwise in a written instrument signed by them, owns all of the rights comprised in the copyright.</w:t>
      </w:r>
    </w:p>
    <w:p w14:paraId="20B0AA77" w14:textId="77777777" w:rsidR="00D810C3" w:rsidRDefault="00D810C3" w:rsidP="00D810C3">
      <w:pPr>
        <w:spacing w:line="240" w:lineRule="auto"/>
      </w:pPr>
    </w:p>
    <w:p w14:paraId="34886D19" w14:textId="77777777" w:rsidR="0060312B" w:rsidRPr="0060312B" w:rsidRDefault="0060312B" w:rsidP="00882088">
      <w:pPr>
        <w:ind w:firstLine="720"/>
      </w:pPr>
      <w:r>
        <w:t xml:space="preserve">The Circuit Courts have taken different approaches in assessing when a work made for hire agreement must be signed.  The Seventh Circuit has held that a work made for hire agreement must be signed prior to the creation of the work without exception.  </w:t>
      </w:r>
      <w:r>
        <w:rPr>
          <w:i/>
          <w:iCs/>
        </w:rPr>
        <w:t xml:space="preserve">Schiller &amp; Schmidt, Inc. v. </w:t>
      </w:r>
      <w:proofErr w:type="spellStart"/>
      <w:r>
        <w:rPr>
          <w:i/>
          <w:iCs/>
        </w:rPr>
        <w:t>Nordisco</w:t>
      </w:r>
      <w:proofErr w:type="spellEnd"/>
      <w:r>
        <w:rPr>
          <w:i/>
          <w:iCs/>
        </w:rPr>
        <w:t xml:space="preserve"> Corp.</w:t>
      </w:r>
      <w:r>
        <w:t>, 969 F.2d 410, 412 (7th</w:t>
      </w:r>
      <w:r>
        <w:rPr>
          <w:vertAlign w:val="superscript"/>
        </w:rPr>
        <w:t xml:space="preserve"> </w:t>
      </w:r>
      <w:r>
        <w:t xml:space="preserve">Cir. 1992).  While the Second Circuit has held that a work made for hire need not be signed preceding the creation of the work if a written agreement “confirms a prior agreement, either explicit or implicit, made before the creation of the work.”  </w:t>
      </w:r>
      <w:r>
        <w:rPr>
          <w:i/>
          <w:iCs/>
        </w:rPr>
        <w:t>Playboy Enterprises, Inc. v. Dumas</w:t>
      </w:r>
      <w:r>
        <w:t>, 53 F.3d 549, 559 (2d Cir. 1995).  Such an ap</w:t>
      </w:r>
      <w:r w:rsidR="00A512B3">
        <w:t>proach by the Second Circuit is</w:t>
      </w:r>
      <w:r>
        <w:t xml:space="preserve"> overshadowed by the Copyright Act’s plain language,</w:t>
      </w:r>
      <w:r w:rsidR="00A512B3">
        <w:t xml:space="preserve"> traditional canons of statutory interpretation,</w:t>
      </w:r>
      <w:r>
        <w:t xml:space="preserve"> legislative history, case law, and </w:t>
      </w:r>
      <w:r w:rsidR="00A512B3">
        <w:t xml:space="preserve">public policy, which all demonstrate that Congress intended to require that a written agreement must be executed preceding the creation of the work in order for it to be considered a work made for hire.  </w:t>
      </w:r>
    </w:p>
    <w:p w14:paraId="70CE3810" w14:textId="77777777" w:rsidR="00B91DB7" w:rsidRPr="003E015B" w:rsidRDefault="00775E8C" w:rsidP="00F16EA5">
      <w:pPr>
        <w:pStyle w:val="ListParagraph"/>
        <w:numPr>
          <w:ilvl w:val="0"/>
          <w:numId w:val="20"/>
        </w:numPr>
        <w:spacing w:line="240" w:lineRule="auto"/>
        <w:rPr>
          <w:b/>
          <w:bCs/>
        </w:rPr>
      </w:pPr>
      <w:r w:rsidRPr="003E015B">
        <w:rPr>
          <w:b/>
          <w:bCs/>
        </w:rPr>
        <w:t xml:space="preserve">The </w:t>
      </w:r>
      <w:r w:rsidR="0060312B">
        <w:rPr>
          <w:b/>
          <w:bCs/>
        </w:rPr>
        <w:t xml:space="preserve">combined </w:t>
      </w:r>
      <w:r w:rsidR="003E015B">
        <w:rPr>
          <w:b/>
          <w:bCs/>
        </w:rPr>
        <w:t>language</w:t>
      </w:r>
      <w:r w:rsidRPr="003E015B">
        <w:rPr>
          <w:b/>
          <w:bCs/>
        </w:rPr>
        <w:t xml:space="preserve"> of 17 U.S.C. §</w:t>
      </w:r>
      <w:r w:rsidR="00F16EA5">
        <w:rPr>
          <w:b/>
          <w:bCs/>
        </w:rPr>
        <w:t>§ 101 and 201(b) require a work made for hire agreement to be s</w:t>
      </w:r>
      <w:r w:rsidR="00CD13BC">
        <w:rPr>
          <w:b/>
          <w:bCs/>
        </w:rPr>
        <w:t>igned prior to the creation</w:t>
      </w:r>
      <w:r w:rsidR="00F16EA5">
        <w:rPr>
          <w:b/>
          <w:bCs/>
        </w:rPr>
        <w:t xml:space="preserve"> of a work.</w:t>
      </w:r>
      <w:r w:rsidR="00651F88">
        <w:rPr>
          <w:b/>
          <w:bCs/>
        </w:rPr>
        <w:br/>
      </w:r>
    </w:p>
    <w:p w14:paraId="3249B1CD" w14:textId="77777777" w:rsidR="00220A43" w:rsidRDefault="00AF20EE" w:rsidP="00882088">
      <w:pPr>
        <w:ind w:firstLine="720"/>
      </w:pPr>
      <w:r>
        <w:t>Ms. Lime</w:t>
      </w:r>
      <w:r w:rsidR="00775E8C">
        <w:t xml:space="preserve"> appropriately fits into the second part of the works for hire definition as</w:t>
      </w:r>
      <w:r>
        <w:t xml:space="preserve"> an independent contractor as</w:t>
      </w:r>
      <w:r w:rsidR="00775E8C">
        <w:t xml:space="preserve"> codified in 17 U.S.C. § 101. </w:t>
      </w:r>
      <w:r w:rsidR="00BB262A">
        <w:t xml:space="preserve"> </w:t>
      </w:r>
      <w:r w:rsidR="00775E8C">
        <w:t xml:space="preserve">She was specially ordered and commissioned to create a contribution, a screenplay, to a collective work, the television series </w:t>
      </w:r>
      <w:r w:rsidR="00775E8C">
        <w:rPr>
          <w:i/>
          <w:iCs/>
        </w:rPr>
        <w:t>Lawless Love</w:t>
      </w:r>
      <w:r w:rsidR="00775E8C">
        <w:t>.</w:t>
      </w:r>
      <w:r w:rsidR="00BB262A">
        <w:t xml:space="preserve"> </w:t>
      </w:r>
      <w:r w:rsidR="00775E8C">
        <w:t xml:space="preserve"> However, </w:t>
      </w:r>
      <w:r w:rsidR="00FD14A4">
        <w:t xml:space="preserve">§ 101 </w:t>
      </w:r>
      <w:r w:rsidR="00882088">
        <w:t xml:space="preserve">also </w:t>
      </w:r>
      <w:r w:rsidR="00FD14A4">
        <w:t xml:space="preserve">requires </w:t>
      </w:r>
      <w:r w:rsidR="00775E8C">
        <w:t>“the parties expressly agree in a written instrument signed by them that the work shall be considered a work for hire.”</w:t>
      </w:r>
      <w:r w:rsidR="00BB262A">
        <w:t xml:space="preserve"> </w:t>
      </w:r>
      <w:r w:rsidR="00775E8C">
        <w:t xml:space="preserve"> It is true that Ms. Lime and the Plaintiff expressly signed </w:t>
      </w:r>
      <w:r w:rsidR="004B044D">
        <w:t xml:space="preserve">a </w:t>
      </w:r>
      <w:r w:rsidR="00A512B3">
        <w:t>document labeled “</w:t>
      </w:r>
      <w:r w:rsidR="004B044D">
        <w:t>W</w:t>
      </w:r>
      <w:r w:rsidR="00775E8C">
        <w:t>ork</w:t>
      </w:r>
      <w:r w:rsidR="004B044D">
        <w:t xml:space="preserve"> Made for H</w:t>
      </w:r>
      <w:r>
        <w:t>ire A</w:t>
      </w:r>
      <w:r w:rsidR="00BB262A">
        <w:t>greement</w:t>
      </w:r>
      <w:r w:rsidR="00882088">
        <w:t>,</w:t>
      </w:r>
      <w:r w:rsidR="00A512B3">
        <w:t>”</w:t>
      </w:r>
      <w:r w:rsidR="00D633A2">
        <w:t xml:space="preserve"> </w:t>
      </w:r>
      <w:r w:rsidR="00272941">
        <w:t>however</w:t>
      </w:r>
      <w:r w:rsidR="00A512B3">
        <w:t>,</w:t>
      </w:r>
      <w:r w:rsidR="00272941">
        <w:t xml:space="preserve"> this occurred </w:t>
      </w:r>
      <w:r w:rsidR="00D633A2">
        <w:t>after the creation of the work</w:t>
      </w:r>
      <w:r w:rsidR="00BB262A">
        <w:t>.</w:t>
      </w:r>
    </w:p>
    <w:p w14:paraId="5036E634" w14:textId="77777777" w:rsidR="00C73E4A" w:rsidRDefault="00C73E4A" w:rsidP="00A23FA0">
      <w:pPr>
        <w:ind w:firstLine="720"/>
      </w:pPr>
      <w:r>
        <w:lastRenderedPageBreak/>
        <w:t>The word “</w:t>
      </w:r>
      <w:proofErr w:type="gramStart"/>
      <w:r>
        <w:t xml:space="preserve">shall” </w:t>
      </w:r>
      <w:r w:rsidR="00220A43">
        <w:t>c</w:t>
      </w:r>
      <w:r w:rsidR="00882088">
        <w:t>an</w:t>
      </w:r>
      <w:proofErr w:type="gramEnd"/>
      <w:r w:rsidR="00882088">
        <w:t xml:space="preserve"> c</w:t>
      </w:r>
      <w:r w:rsidR="00220A43">
        <w:t>reate</w:t>
      </w:r>
      <w:r>
        <w:t xml:space="preserve"> uncertainty in the definition of a work made for hire.  The word</w:t>
      </w:r>
      <w:r w:rsidR="00A23FA0">
        <w:t xml:space="preserve"> </w:t>
      </w:r>
      <w:r>
        <w:t xml:space="preserve">is defined by Black’s Law Dictionary in five different senses.  Under the strict rules of drafting only one of these five senses can be used to interpret the meaning of the word.  Black’s Law Dictionary (9th ed. 2009).  The question for the court is which sense is most appropriate.  The first sense of the word shall is “has a duty to” or “is required to.” </w:t>
      </w:r>
      <w:r w:rsidR="00D400F5">
        <w:t xml:space="preserve"> </w:t>
      </w:r>
      <w:r>
        <w:rPr>
          <w:i/>
          <w:iCs/>
        </w:rPr>
        <w:t>Id.</w:t>
      </w:r>
      <w:r>
        <w:t xml:space="preserve">  The second sense of the word shall is defined as “should.” </w:t>
      </w:r>
      <w:r w:rsidR="00D400F5">
        <w:t xml:space="preserve"> </w:t>
      </w:r>
      <w:r>
        <w:rPr>
          <w:i/>
          <w:iCs/>
        </w:rPr>
        <w:t xml:space="preserve">Id.  </w:t>
      </w:r>
      <w:r>
        <w:t xml:space="preserve">The third sense of the word shall is defined as “may.” </w:t>
      </w:r>
      <w:r w:rsidR="00D400F5">
        <w:t xml:space="preserve"> </w:t>
      </w:r>
      <w:r>
        <w:rPr>
          <w:i/>
          <w:iCs/>
        </w:rPr>
        <w:t xml:space="preserve">Id.  </w:t>
      </w:r>
      <w:r>
        <w:t>The fourth sense of the word is defined as “will” as in the future-tense, and the fifth sense of the word shall is defined as “entitled to.”</w:t>
      </w:r>
      <w:r w:rsidR="00D400F5">
        <w:t xml:space="preserve"> </w:t>
      </w:r>
      <w:r>
        <w:t xml:space="preserve"> </w:t>
      </w:r>
      <w:r>
        <w:rPr>
          <w:i/>
          <w:iCs/>
        </w:rPr>
        <w:t xml:space="preserve">Id.  </w:t>
      </w:r>
      <w:r>
        <w:t>Replacing the words in the definition produce:</w:t>
      </w:r>
    </w:p>
    <w:p w14:paraId="652A45D6" w14:textId="77777777" w:rsidR="00C73E4A" w:rsidRPr="00220A43" w:rsidRDefault="00C73E4A" w:rsidP="00C73E4A">
      <w:pPr>
        <w:pStyle w:val="ListParagraph"/>
        <w:numPr>
          <w:ilvl w:val="0"/>
          <w:numId w:val="17"/>
        </w:numPr>
        <w:spacing w:line="240" w:lineRule="auto"/>
        <w:ind w:right="720"/>
      </w:pPr>
      <w:r w:rsidRPr="00220A43">
        <w:t xml:space="preserve">if the parties expressly agree in a written instrument signed by them that the work </w:t>
      </w:r>
      <w:r w:rsidRPr="00220A43">
        <w:rPr>
          <w:i/>
          <w:iCs/>
        </w:rPr>
        <w:t>is required to</w:t>
      </w:r>
      <w:r w:rsidRPr="00220A43">
        <w:t xml:space="preserve"> be considered a works made for hire;</w:t>
      </w:r>
    </w:p>
    <w:p w14:paraId="21C600A1" w14:textId="77777777" w:rsidR="00C73E4A" w:rsidRPr="00220A43" w:rsidRDefault="00C73E4A" w:rsidP="00C73E4A">
      <w:pPr>
        <w:pStyle w:val="ListParagraph"/>
        <w:numPr>
          <w:ilvl w:val="0"/>
          <w:numId w:val="17"/>
        </w:numPr>
        <w:spacing w:line="240" w:lineRule="auto"/>
        <w:ind w:right="720"/>
      </w:pPr>
      <w:r w:rsidRPr="00220A43">
        <w:t xml:space="preserve">if the parties expressly agree in a written instrument signed by them that the work </w:t>
      </w:r>
      <w:r w:rsidRPr="00220A43">
        <w:rPr>
          <w:i/>
          <w:iCs/>
        </w:rPr>
        <w:t>should</w:t>
      </w:r>
      <w:r w:rsidRPr="00220A43">
        <w:t xml:space="preserve"> be considered a works made for hire;</w:t>
      </w:r>
    </w:p>
    <w:p w14:paraId="4412EAD1" w14:textId="77777777" w:rsidR="00C73E4A" w:rsidRPr="00220A43" w:rsidRDefault="00C73E4A" w:rsidP="00C73E4A">
      <w:pPr>
        <w:pStyle w:val="ListParagraph"/>
        <w:numPr>
          <w:ilvl w:val="0"/>
          <w:numId w:val="17"/>
        </w:numPr>
        <w:spacing w:line="240" w:lineRule="auto"/>
        <w:ind w:right="720"/>
      </w:pPr>
      <w:r w:rsidRPr="00220A43">
        <w:t xml:space="preserve">if the parties expressly agree in a written instrument signed by them that the work </w:t>
      </w:r>
      <w:r w:rsidRPr="00220A43">
        <w:rPr>
          <w:i/>
          <w:iCs/>
        </w:rPr>
        <w:t>may</w:t>
      </w:r>
      <w:r w:rsidRPr="00220A43">
        <w:t xml:space="preserve"> be considered a work made for hire;</w:t>
      </w:r>
    </w:p>
    <w:p w14:paraId="24C734F6" w14:textId="77777777" w:rsidR="00C73E4A" w:rsidRPr="00220A43" w:rsidRDefault="00C73E4A" w:rsidP="00C73E4A">
      <w:pPr>
        <w:pStyle w:val="ListParagraph"/>
        <w:numPr>
          <w:ilvl w:val="0"/>
          <w:numId w:val="17"/>
        </w:numPr>
        <w:spacing w:line="240" w:lineRule="auto"/>
        <w:ind w:right="720"/>
      </w:pPr>
      <w:r w:rsidRPr="00220A43">
        <w:t xml:space="preserve">if the parties expressly agree in a written instrument signed by them that the work </w:t>
      </w:r>
      <w:r w:rsidRPr="00220A43">
        <w:rPr>
          <w:i/>
          <w:iCs/>
        </w:rPr>
        <w:t>will</w:t>
      </w:r>
      <w:r w:rsidRPr="00220A43">
        <w:t xml:space="preserve"> be considered a work made for hire; and</w:t>
      </w:r>
    </w:p>
    <w:p w14:paraId="09477D77" w14:textId="77777777" w:rsidR="00C73E4A" w:rsidRPr="00220A43" w:rsidRDefault="00C73E4A" w:rsidP="00C73E4A">
      <w:pPr>
        <w:pStyle w:val="ListParagraph"/>
        <w:numPr>
          <w:ilvl w:val="0"/>
          <w:numId w:val="17"/>
        </w:numPr>
        <w:spacing w:line="240" w:lineRule="auto"/>
        <w:ind w:right="720"/>
      </w:pPr>
      <w:proofErr w:type="gramStart"/>
      <w:r w:rsidRPr="00220A43">
        <w:t>if</w:t>
      </w:r>
      <w:proofErr w:type="gramEnd"/>
      <w:r w:rsidRPr="00220A43">
        <w:t xml:space="preserve"> the parties expressly agree in a written instrument signed by them that the work </w:t>
      </w:r>
      <w:r w:rsidRPr="00220A43">
        <w:rPr>
          <w:i/>
          <w:iCs/>
        </w:rPr>
        <w:t>is entitled to</w:t>
      </w:r>
      <w:r w:rsidRPr="00220A43">
        <w:t xml:space="preserve"> be considered a work made for hire.</w:t>
      </w:r>
    </w:p>
    <w:p w14:paraId="16A4E545" w14:textId="77777777" w:rsidR="00C73E4A" w:rsidRDefault="00C73E4A" w:rsidP="00C73E4A">
      <w:pPr>
        <w:pStyle w:val="ListParagraph"/>
        <w:spacing w:line="240" w:lineRule="auto"/>
        <w:ind w:left="0"/>
        <w:rPr>
          <w:i/>
          <w:iCs/>
        </w:rPr>
      </w:pPr>
    </w:p>
    <w:p w14:paraId="4EFC53E5" w14:textId="77777777" w:rsidR="00A23FA0" w:rsidRDefault="00C73E4A" w:rsidP="00A23FA0">
      <w:r>
        <w:t>As a result, the definition of a work made for hire according to the plain meaning of the statute could be construed as ambiguous as to w</w:t>
      </w:r>
      <w:r w:rsidR="00220A43">
        <w:t>hether a work made for hire is ascertained at all by a signed written agreement</w:t>
      </w:r>
      <w:r>
        <w:t xml:space="preserve">. </w:t>
      </w:r>
      <w:r w:rsidR="00A512B3">
        <w:t xml:space="preserve"> However, the only </w:t>
      </w:r>
      <w:r w:rsidR="00220A43">
        <w:t>reading</w:t>
      </w:r>
      <w:r w:rsidR="00A512B3">
        <w:t xml:space="preserve"> of </w:t>
      </w:r>
      <w:r w:rsidR="00220A43">
        <w:t>“</w:t>
      </w:r>
      <w:r w:rsidR="00A512B3">
        <w:t>shall</w:t>
      </w:r>
      <w:r w:rsidR="00220A43">
        <w:t>”</w:t>
      </w:r>
      <w:r w:rsidR="00A512B3">
        <w:t xml:space="preserve"> that makes sense in this context is when </w:t>
      </w:r>
      <w:r w:rsidR="00220A43">
        <w:t>it applies as the future tense.</w:t>
      </w:r>
      <w:r w:rsidR="00A512B3">
        <w:t xml:space="preserve"> </w:t>
      </w:r>
      <w:r w:rsidR="00220A43">
        <w:t xml:space="preserve"> </w:t>
      </w:r>
      <w:r w:rsidR="00A512B3">
        <w:t>All other definitions of the word in the context of the statute do not ascertain a work for hire by a written agreement. R</w:t>
      </w:r>
      <w:r w:rsidR="00220A43">
        <w:t xml:space="preserve">ather, a work </w:t>
      </w:r>
      <w:r w:rsidR="00220A43" w:rsidRPr="00220A43">
        <w:rPr>
          <w:i/>
          <w:iCs/>
        </w:rPr>
        <w:t>may</w:t>
      </w:r>
      <w:r w:rsidR="00220A43">
        <w:t xml:space="preserve">, </w:t>
      </w:r>
      <w:r w:rsidR="00220A43" w:rsidRPr="00220A43">
        <w:rPr>
          <w:i/>
          <w:iCs/>
        </w:rPr>
        <w:t>should</w:t>
      </w:r>
      <w:r w:rsidR="00220A43">
        <w:t xml:space="preserve"> or </w:t>
      </w:r>
      <w:r w:rsidR="00220A43" w:rsidRPr="00220A43">
        <w:rPr>
          <w:i/>
          <w:iCs/>
        </w:rPr>
        <w:t>is</w:t>
      </w:r>
      <w:r w:rsidR="00A512B3" w:rsidRPr="00220A43">
        <w:rPr>
          <w:i/>
          <w:iCs/>
        </w:rPr>
        <w:t xml:space="preserve"> entitled to</w:t>
      </w:r>
      <w:r w:rsidR="00A512B3">
        <w:t xml:space="preserve"> be, considered a work made for hire and thus reading </w:t>
      </w:r>
      <w:r w:rsidR="00220A43">
        <w:t>“</w:t>
      </w:r>
      <w:r w:rsidR="00A512B3">
        <w:t>shall</w:t>
      </w:r>
      <w:r w:rsidR="00220A43">
        <w:t>” as indicating the</w:t>
      </w:r>
      <w:r w:rsidR="00A512B3">
        <w:t xml:space="preserve"> future tense is the only appropriate </w:t>
      </w:r>
      <w:r w:rsidR="00220A43">
        <w:t>reading of the word</w:t>
      </w:r>
      <w:r w:rsidR="00A512B3">
        <w:t>.</w:t>
      </w:r>
      <w:r>
        <w:t xml:space="preserve"> </w:t>
      </w:r>
      <w:r w:rsidR="00220A43">
        <w:t xml:space="preserve"> </w:t>
      </w:r>
      <w:r w:rsidR="00A23FA0">
        <w:t>Taking this into account, the reading of the statute requires a precreation signed written agreement between both parties.</w:t>
      </w:r>
    </w:p>
    <w:p w14:paraId="412B4B23" w14:textId="77777777" w:rsidR="00D331FB" w:rsidRDefault="00A23FA0" w:rsidP="00A23FA0">
      <w:r>
        <w:tab/>
        <w:t xml:space="preserve">If the Court is </w:t>
      </w:r>
      <w:r w:rsidR="004D546A">
        <w:t>not persuaded</w:t>
      </w:r>
      <w:r>
        <w:t xml:space="preserve"> by this argument alone </w:t>
      </w:r>
      <w:r w:rsidR="004D546A">
        <w:t xml:space="preserve">or deems the work made for hire provision ambiguous, </w:t>
      </w:r>
      <w:r>
        <w:t xml:space="preserve">additional sources may be pursued to discover the meaning of the </w:t>
      </w:r>
      <w:r>
        <w:lastRenderedPageBreak/>
        <w:t>Copyright Act of 1976. T</w:t>
      </w:r>
      <w:r w:rsidR="00882088">
        <w:t xml:space="preserve">he foregoing </w:t>
      </w:r>
      <w:r w:rsidR="004D546A">
        <w:t>arguments will</w:t>
      </w:r>
      <w:r w:rsidR="00882088">
        <w:t xml:space="preserve"> further</w:t>
      </w:r>
      <w:r w:rsidR="00C73E4A">
        <w:t xml:space="preserve"> ascertain that a written agreement must be signed </w:t>
      </w:r>
      <w:r w:rsidR="004D546A">
        <w:t>before the creation of the work to be considered a work made for hire.</w:t>
      </w:r>
    </w:p>
    <w:p w14:paraId="34EE5A7A" w14:textId="77777777" w:rsidR="00B1678C" w:rsidRPr="003E015B" w:rsidRDefault="00CD13BC" w:rsidP="00C73E4A">
      <w:pPr>
        <w:pStyle w:val="ListParagraph"/>
        <w:numPr>
          <w:ilvl w:val="0"/>
          <w:numId w:val="20"/>
        </w:numPr>
        <w:spacing w:line="240" w:lineRule="auto"/>
        <w:rPr>
          <w:b/>
          <w:bCs/>
        </w:rPr>
      </w:pPr>
      <w:r>
        <w:rPr>
          <w:b/>
          <w:bCs/>
        </w:rPr>
        <w:t>A work-for-hire agreement must be signed before creation of the work in order to avoid redundancy in the Copyright Act as a whole.</w:t>
      </w:r>
      <w:r w:rsidR="00585A35" w:rsidRPr="003E015B">
        <w:rPr>
          <w:b/>
          <w:bCs/>
        </w:rPr>
        <w:br/>
      </w:r>
      <w:r w:rsidR="00585A35" w:rsidRPr="003E015B">
        <w:rPr>
          <w:b/>
          <w:bCs/>
        </w:rPr>
        <w:tab/>
      </w:r>
    </w:p>
    <w:p w14:paraId="3711CF37" w14:textId="77777777" w:rsidR="00CB3BA5" w:rsidRDefault="00B1678C" w:rsidP="00B72238">
      <w:pPr>
        <w:ind w:firstLine="720"/>
      </w:pPr>
      <w:r>
        <w:t xml:space="preserve">In </w:t>
      </w:r>
      <w:r w:rsidR="00EA0993">
        <w:t>con</w:t>
      </w:r>
      <w:r w:rsidR="00C73E4A">
        <w:t>sidering</w:t>
      </w:r>
      <w:r w:rsidR="00EA0993">
        <w:t xml:space="preserve"> that the plain language of § 201(b) </w:t>
      </w:r>
      <w:r w:rsidR="0039655E">
        <w:t xml:space="preserve">is </w:t>
      </w:r>
      <w:r w:rsidR="00EA0993">
        <w:t>ambiguous</w:t>
      </w:r>
      <w:r w:rsidR="00882088">
        <w:t xml:space="preserve"> or the Court feels it needs additional persuasion</w:t>
      </w:r>
      <w:r w:rsidR="00EA0993">
        <w:t xml:space="preserve">, general principles of statutory interpretation </w:t>
      </w:r>
      <w:r w:rsidR="004B044D">
        <w:t>ascertain</w:t>
      </w:r>
      <w:r w:rsidR="0039655E">
        <w:t xml:space="preserve"> </w:t>
      </w:r>
      <w:r w:rsidR="00C73E4A">
        <w:t xml:space="preserve">that in a </w:t>
      </w:r>
      <w:r w:rsidR="0039655E">
        <w:t>work made for hire</w:t>
      </w:r>
      <w:r w:rsidR="00C73E4A">
        <w:t xml:space="preserve"> requirement </w:t>
      </w:r>
      <w:r w:rsidR="004B044D">
        <w:t>a written agreement must be signed before the commissioning of</w:t>
      </w:r>
      <w:r w:rsidR="0039655E">
        <w:t xml:space="preserve"> the work</w:t>
      </w:r>
      <w:r w:rsidR="00C73E4A">
        <w:t xml:space="preserve">.  </w:t>
      </w:r>
      <w:r w:rsidR="00B0424E">
        <w:t xml:space="preserve">The Supreme Court </w:t>
      </w:r>
      <w:r w:rsidR="00B72238">
        <w:t>held</w:t>
      </w:r>
      <w:r w:rsidR="00B0424E">
        <w:t xml:space="preserve"> that the plain meaning interpretation cannot be interpreted by taking the words in isolation. </w:t>
      </w:r>
      <w:r w:rsidR="00B72238">
        <w:t xml:space="preserve"> </w:t>
      </w:r>
      <w:proofErr w:type="gramStart"/>
      <w:r w:rsidR="00B0424E">
        <w:rPr>
          <w:i/>
          <w:iCs/>
        </w:rPr>
        <w:t>Dolan v. U.S. Postal Service,</w:t>
      </w:r>
      <w:r w:rsidR="00B0424E">
        <w:t xml:space="preserve"> 546 U.S. 481, 486 (2006).</w:t>
      </w:r>
      <w:proofErr w:type="gramEnd"/>
      <w:r w:rsidR="00B0424E">
        <w:t xml:space="preserve"> </w:t>
      </w:r>
      <w:r w:rsidR="00B34F80">
        <w:t xml:space="preserve"> </w:t>
      </w:r>
      <w:r w:rsidR="00B0424E">
        <w:t xml:space="preserve">As a result, general principles of statutory interpretation provide that the statute must be looked at as a </w:t>
      </w:r>
      <w:r w:rsidR="00ED0086">
        <w:t>whole to interpret its meaning.</w:t>
      </w:r>
      <w:r w:rsidR="008372B4">
        <w:t xml:space="preserve"> </w:t>
      </w:r>
      <w:r w:rsidR="00D400F5">
        <w:t xml:space="preserve"> </w:t>
      </w:r>
      <w:r w:rsidR="00CB3BA5">
        <w:t xml:space="preserve">The Supreme Court </w:t>
      </w:r>
      <w:r w:rsidR="003E12B2">
        <w:t xml:space="preserve">held </w:t>
      </w:r>
      <w:r w:rsidR="00CB3BA5">
        <w:t>that “in expounding a statute,” the Court is not “guided by a single sentence or member of a sentence, but look[s] to the provisions of the whole law, and to its object and policy.”</w:t>
      </w:r>
      <w:r w:rsidR="003E12B2">
        <w:t xml:space="preserve">  </w:t>
      </w:r>
      <w:proofErr w:type="gramStart"/>
      <w:r w:rsidR="003E12B2" w:rsidRPr="003E12B2">
        <w:rPr>
          <w:i/>
          <w:iCs/>
        </w:rPr>
        <w:t xml:space="preserve">Massachusetts v. </w:t>
      </w:r>
      <w:proofErr w:type="spellStart"/>
      <w:r w:rsidR="003E12B2" w:rsidRPr="003E12B2">
        <w:rPr>
          <w:i/>
          <w:iCs/>
        </w:rPr>
        <w:t>Morash</w:t>
      </w:r>
      <w:proofErr w:type="spellEnd"/>
      <w:r w:rsidR="003E12B2">
        <w:t>,</w:t>
      </w:r>
      <w:r w:rsidR="00CB3BA5">
        <w:t xml:space="preserve"> 490 U.S. 107, 115 (1989)</w:t>
      </w:r>
      <w:r w:rsidR="003E12B2">
        <w:t>.</w:t>
      </w:r>
      <w:proofErr w:type="gramEnd"/>
      <w:r w:rsidR="00CB3BA5">
        <w:t xml:space="preserve"> </w:t>
      </w:r>
      <w:r w:rsidR="00B34F80">
        <w:t xml:space="preserve"> </w:t>
      </w:r>
      <w:r w:rsidR="003E12B2">
        <w:t>When read as a whole</w:t>
      </w:r>
      <w:r w:rsidR="00D400F5">
        <w:t>,</w:t>
      </w:r>
      <w:r w:rsidR="008372B4">
        <w:t xml:space="preserve"> a problem arises</w:t>
      </w:r>
      <w:r w:rsidR="004C7DB1">
        <w:t xml:space="preserve"> that directly conflicts with the </w:t>
      </w:r>
      <w:proofErr w:type="spellStart"/>
      <w:r w:rsidR="004C7DB1">
        <w:t>surplusage</w:t>
      </w:r>
      <w:proofErr w:type="spellEnd"/>
      <w:r w:rsidR="004C7DB1">
        <w:t xml:space="preserve"> or redundancy </w:t>
      </w:r>
      <w:r w:rsidR="008372B4">
        <w:t>can</w:t>
      </w:r>
      <w:r w:rsidR="007C4CBE">
        <w:t xml:space="preserve">on of statutory interpretation. </w:t>
      </w:r>
      <w:r w:rsidR="00B34F80">
        <w:t xml:space="preserve"> </w:t>
      </w:r>
      <w:r w:rsidR="00CB3BA5">
        <w:t>This canon provides that an interpretation that produces redundancies should be rejected in favor of an i</w:t>
      </w:r>
      <w:r w:rsidR="00882088">
        <w:t>nterpretation that makes every word</w:t>
      </w:r>
      <w:r w:rsidR="00CB3BA5">
        <w:t xml:space="preserve"> meaningful when the statute is read as a whole.</w:t>
      </w:r>
      <w:r w:rsidR="00CB182C">
        <w:t xml:space="preserve"> </w:t>
      </w:r>
      <w:r w:rsidR="00CB3BA5">
        <w:t xml:space="preserve"> </w:t>
      </w:r>
      <w:r w:rsidR="005A3D88">
        <w:t xml:space="preserve">“It is a cardinal principle of statutory construction that a statute ought, upon the whole, to be so construed that, if it can be prevented, no clause, sentence, or word shall be superfluous, void or insignificant.” </w:t>
      </w:r>
      <w:r w:rsidR="003E12B2">
        <w:t xml:space="preserve"> </w:t>
      </w:r>
      <w:r w:rsidR="005A3D88">
        <w:rPr>
          <w:i/>
          <w:iCs/>
        </w:rPr>
        <w:t xml:space="preserve">TRW Inc. v. </w:t>
      </w:r>
      <w:r w:rsidR="005A3D88" w:rsidRPr="005A3D88">
        <w:t>Andrews</w:t>
      </w:r>
      <w:r w:rsidR="005A3D88">
        <w:t>, 534 U.S. 19, 31 (2001) (internal quotation marks omitted)</w:t>
      </w:r>
      <w:r w:rsidR="003E12B2">
        <w:t>.</w:t>
      </w:r>
      <w:r w:rsidR="004D546A">
        <w:t xml:space="preserve">  </w:t>
      </w:r>
      <w:r w:rsidR="00F42931">
        <w:t>When a work is made for hire</w:t>
      </w:r>
      <w:r w:rsidR="004D546A">
        <w:t xml:space="preserve"> the copyright vests initially in the employer. </w:t>
      </w:r>
      <w:r w:rsidR="00D56899">
        <w:t xml:space="preserve"> </w:t>
      </w:r>
      <w:proofErr w:type="gramStart"/>
      <w:r w:rsidR="004D546A">
        <w:t>17 U.S.C. § 201(b)</w:t>
      </w:r>
      <w:r w:rsidR="00F42931">
        <w:t>.</w:t>
      </w:r>
      <w:proofErr w:type="gramEnd"/>
      <w:r w:rsidR="00F42931">
        <w:t xml:space="preserve">  </w:t>
      </w:r>
      <w:r w:rsidR="00D56899">
        <w:t xml:space="preserve"> </w:t>
      </w:r>
      <w:r w:rsidR="004C7DB1">
        <w:t>To sign a work made for h</w:t>
      </w:r>
      <w:r w:rsidR="00E3537B">
        <w:t xml:space="preserve">ire agreement at the completion </w:t>
      </w:r>
      <w:r w:rsidR="00B34F80">
        <w:t>of the work</w:t>
      </w:r>
      <w:r w:rsidR="00E3537B">
        <w:t xml:space="preserve"> amounts to </w:t>
      </w:r>
      <w:r w:rsidR="00CB3BA5">
        <w:t>a</w:t>
      </w:r>
      <w:r w:rsidR="00E3537B">
        <w:t xml:space="preserve"> transfer of ownership as </w:t>
      </w:r>
      <w:r w:rsidR="00B34F80">
        <w:t xml:space="preserve">codified </w:t>
      </w:r>
      <w:r w:rsidR="00E3537B">
        <w:t xml:space="preserve">in </w:t>
      </w:r>
      <w:r w:rsidR="00F42931">
        <w:t xml:space="preserve">§ 204(a) of the 1976 </w:t>
      </w:r>
      <w:r w:rsidR="00B34F80">
        <w:t>Act</w:t>
      </w:r>
      <w:r w:rsidR="00E3537B">
        <w:t>.</w:t>
      </w:r>
      <w:r w:rsidR="00CB3BA5">
        <w:t xml:space="preserve">  The </w:t>
      </w:r>
      <w:r w:rsidR="00B72238">
        <w:t>S</w:t>
      </w:r>
      <w:r w:rsidR="00CB182C">
        <w:t>ection</w:t>
      </w:r>
      <w:r w:rsidR="00CB3BA5">
        <w:t xml:space="preserve"> provides:</w:t>
      </w:r>
    </w:p>
    <w:p w14:paraId="4147431A" w14:textId="77777777" w:rsidR="00CB3BA5" w:rsidRDefault="00CB3BA5" w:rsidP="00CB182C">
      <w:pPr>
        <w:spacing w:line="240" w:lineRule="auto"/>
        <w:ind w:left="720" w:right="720"/>
      </w:pPr>
      <w:r>
        <w:lastRenderedPageBreak/>
        <w:t xml:space="preserve">A transfer of copyright ownership, other than by operation of law, is not valid unless an instrument of conveyance, or a note or memorandum of the transfer, is in writing and signed by the owner of the rights conveyed or such owner’s duly authorized agent. </w:t>
      </w:r>
    </w:p>
    <w:p w14:paraId="65E61948" w14:textId="77777777" w:rsidR="00CB182C" w:rsidRDefault="00CB182C" w:rsidP="00CB182C">
      <w:pPr>
        <w:spacing w:line="240" w:lineRule="auto"/>
        <w:ind w:left="720" w:right="720"/>
      </w:pPr>
    </w:p>
    <w:p w14:paraId="4764BB05" w14:textId="77777777" w:rsidR="00B91DB7" w:rsidRPr="00B34F80" w:rsidRDefault="003E12B2" w:rsidP="00F42931">
      <w:proofErr w:type="gramStart"/>
      <w:r>
        <w:t>17 U.S.C. § 204(b).</w:t>
      </w:r>
      <w:proofErr w:type="gramEnd"/>
      <w:r>
        <w:t xml:space="preserve">  </w:t>
      </w:r>
      <w:r w:rsidR="00B72238">
        <w:t>If §</w:t>
      </w:r>
      <w:r w:rsidR="00CB182C">
        <w:t xml:space="preserve"> 201(b) were to be interpreted as not requiring a express </w:t>
      </w:r>
      <w:r w:rsidR="00F42931">
        <w:t xml:space="preserve">signed and written agreement preceding the creation of a </w:t>
      </w:r>
      <w:r w:rsidR="00CB182C">
        <w:t xml:space="preserve">work </w:t>
      </w:r>
      <w:r w:rsidR="00F42931">
        <w:t xml:space="preserve">made </w:t>
      </w:r>
      <w:r w:rsidR="00CB182C">
        <w:t xml:space="preserve">for hire it would amount to nothing more </w:t>
      </w:r>
      <w:r w:rsidR="00F42931">
        <w:t xml:space="preserve">than a transfer of ownership.  This interpretation </w:t>
      </w:r>
      <w:r w:rsidR="00CB182C">
        <w:t>would create internal redundancies</w:t>
      </w:r>
      <w:r w:rsidR="00F42931">
        <w:t xml:space="preserve"> and digress from the structure of the 1976 Act that Congress painstakingly belabored over a twenty year span</w:t>
      </w:r>
      <w:r w:rsidR="00CB182C">
        <w:t xml:space="preserve">.  </w:t>
      </w:r>
      <w:r w:rsidR="00D56899">
        <w:t>Courts tend not to favor reading a statute that creates redundancies.</w:t>
      </w:r>
      <w:r w:rsidR="00D400F5">
        <w:t xml:space="preserve"> </w:t>
      </w:r>
      <w:r w:rsidR="00D56899">
        <w:t xml:space="preserve"> </w:t>
      </w:r>
      <w:proofErr w:type="gramStart"/>
      <w:r w:rsidR="00D56899">
        <w:rPr>
          <w:i/>
          <w:iCs/>
        </w:rPr>
        <w:t>Playboy Enterprises v. Dumas</w:t>
      </w:r>
      <w:r w:rsidR="00D56899">
        <w:rPr>
          <w:b/>
          <w:bCs/>
          <w:i/>
          <w:iCs/>
        </w:rPr>
        <w:t xml:space="preserve">, </w:t>
      </w:r>
      <w:r w:rsidR="00D400F5">
        <w:t xml:space="preserve">831 </w:t>
      </w:r>
      <w:proofErr w:type="spellStart"/>
      <w:r w:rsidR="00D400F5">
        <w:t>F.Supp</w:t>
      </w:r>
      <w:proofErr w:type="spellEnd"/>
      <w:r w:rsidR="00D400F5">
        <w:t>.</w:t>
      </w:r>
      <w:proofErr w:type="gramEnd"/>
      <w:r w:rsidR="00D400F5">
        <w:t xml:space="preserve"> </w:t>
      </w:r>
      <w:proofErr w:type="gramStart"/>
      <w:r w:rsidR="00D400F5">
        <w:t>295, 314 (</w:t>
      </w:r>
      <w:r w:rsidR="00D56899">
        <w:t>1993).</w:t>
      </w:r>
      <w:proofErr w:type="gramEnd"/>
      <w:r w:rsidR="00D56899">
        <w:t xml:space="preserve">  </w:t>
      </w:r>
      <w:r w:rsidR="00B34F80">
        <w:t>In order to eliminate this type of redundancy, which accepted principles of statutory interpretation are intended to do, it is only proper to construe §</w:t>
      </w:r>
      <w:r w:rsidR="00F42931">
        <w:t xml:space="preserve"> 201(b) as requiring an express </w:t>
      </w:r>
      <w:r w:rsidR="00B34F80">
        <w:t xml:space="preserve">written agreement to be signed </w:t>
      </w:r>
      <w:r w:rsidR="00F42931">
        <w:t>by both parties before the creation of a work made for hire</w:t>
      </w:r>
      <w:r w:rsidR="00B34F80">
        <w:t>.</w:t>
      </w:r>
    </w:p>
    <w:p w14:paraId="7E677CD0" w14:textId="77777777" w:rsidR="00B91DB7" w:rsidRPr="003E015B" w:rsidRDefault="00775E8C" w:rsidP="00CD13BC">
      <w:pPr>
        <w:pStyle w:val="ListParagraph"/>
        <w:numPr>
          <w:ilvl w:val="0"/>
          <w:numId w:val="20"/>
        </w:numPr>
        <w:spacing w:line="240" w:lineRule="auto"/>
        <w:rPr>
          <w:b/>
          <w:bCs/>
        </w:rPr>
      </w:pPr>
      <w:r w:rsidRPr="003E015B">
        <w:rPr>
          <w:b/>
          <w:bCs/>
        </w:rPr>
        <w:t xml:space="preserve">Legislative </w:t>
      </w:r>
      <w:r w:rsidR="004E2DEB">
        <w:rPr>
          <w:b/>
          <w:bCs/>
        </w:rPr>
        <w:t xml:space="preserve">history </w:t>
      </w:r>
      <w:r w:rsidR="00CD13BC">
        <w:rPr>
          <w:b/>
          <w:bCs/>
        </w:rPr>
        <w:t>shows</w:t>
      </w:r>
      <w:r w:rsidR="004E2DEB">
        <w:rPr>
          <w:b/>
          <w:bCs/>
        </w:rPr>
        <w:t xml:space="preserve"> that Congress intended for a work for hire</w:t>
      </w:r>
      <w:r w:rsidRPr="003E015B">
        <w:rPr>
          <w:b/>
          <w:bCs/>
        </w:rPr>
        <w:t xml:space="preserve"> agreement </w:t>
      </w:r>
      <w:r w:rsidR="004E2DEB">
        <w:rPr>
          <w:b/>
          <w:bCs/>
        </w:rPr>
        <w:t xml:space="preserve">to be </w:t>
      </w:r>
      <w:r w:rsidRPr="003E015B">
        <w:rPr>
          <w:b/>
          <w:bCs/>
        </w:rPr>
        <w:t xml:space="preserve">signed by both parties </w:t>
      </w:r>
      <w:r w:rsidR="004E2DEB">
        <w:rPr>
          <w:b/>
          <w:bCs/>
        </w:rPr>
        <w:t>preceding the creation of the work.</w:t>
      </w:r>
      <w:r w:rsidR="00623A5C" w:rsidRPr="003E015B">
        <w:rPr>
          <w:b/>
          <w:bCs/>
        </w:rPr>
        <w:br/>
      </w:r>
    </w:p>
    <w:p w14:paraId="632C3B22" w14:textId="77777777" w:rsidR="004E2DEB" w:rsidRDefault="00ED0086" w:rsidP="00882088">
      <w:pPr>
        <w:ind w:firstLine="720"/>
      </w:pPr>
      <w:r>
        <w:t xml:space="preserve">The Supreme Court has held </w:t>
      </w:r>
      <w:r w:rsidR="00B72238">
        <w:t xml:space="preserve">that </w:t>
      </w:r>
      <w:r>
        <w:t>“[c]</w:t>
      </w:r>
      <w:proofErr w:type="spellStart"/>
      <w:r w:rsidR="00775E8C">
        <w:t>ongressional</w:t>
      </w:r>
      <w:proofErr w:type="spellEnd"/>
      <w:r w:rsidR="00775E8C">
        <w:t xml:space="preserve"> intent is presumed to be expressed through the plain meaning of a statute. </w:t>
      </w:r>
      <w:r w:rsidR="00775E8C">
        <w:rPr>
          <w:i/>
          <w:iCs/>
        </w:rPr>
        <w:t xml:space="preserve">Park </w:t>
      </w:r>
      <w:proofErr w:type="gramStart"/>
      <w:r w:rsidR="00775E8C">
        <w:rPr>
          <w:i/>
          <w:iCs/>
        </w:rPr>
        <w:t>‘N</w:t>
      </w:r>
      <w:proofErr w:type="gramEnd"/>
      <w:r w:rsidR="00775E8C">
        <w:rPr>
          <w:i/>
          <w:iCs/>
        </w:rPr>
        <w:t xml:space="preserve"> Fly, Inc. v. Dollar Park &amp; Fly, Inc., </w:t>
      </w:r>
      <w:r w:rsidR="008372B4">
        <w:t xml:space="preserve">469 U.S. 189, 194 (1985).  </w:t>
      </w:r>
      <w:r w:rsidR="00775E8C">
        <w:t>Accordingly,</w:t>
      </w:r>
      <w:r w:rsidR="008372B4">
        <w:t xml:space="preserve"> </w:t>
      </w:r>
      <w:r w:rsidR="00882088">
        <w:t xml:space="preserve">when reading </w:t>
      </w:r>
      <w:r w:rsidR="008372B4">
        <w:t>the statute as a whole</w:t>
      </w:r>
      <w:r w:rsidR="00882088">
        <w:t>,</w:t>
      </w:r>
      <w:r w:rsidR="00057C20">
        <w:t xml:space="preserve"> as discussed above</w:t>
      </w:r>
      <w:r w:rsidR="00882088">
        <w:t>, an internal</w:t>
      </w:r>
      <w:r w:rsidR="00573272">
        <w:t xml:space="preserve"> redundancy </w:t>
      </w:r>
      <w:r w:rsidR="00882088">
        <w:t xml:space="preserve">results </w:t>
      </w:r>
      <w:r w:rsidR="008372B4">
        <w:t xml:space="preserve">if </w:t>
      </w:r>
      <w:r w:rsidR="00882088">
        <w:t>it</w:t>
      </w:r>
      <w:r w:rsidR="00573272">
        <w:t xml:space="preserve"> were </w:t>
      </w:r>
      <w:r w:rsidR="008372B4">
        <w:t>construe</w:t>
      </w:r>
      <w:r w:rsidR="00573272">
        <w:t>d</w:t>
      </w:r>
      <w:r w:rsidR="008372B4">
        <w:t xml:space="preserve"> </w:t>
      </w:r>
      <w:r w:rsidR="00573272">
        <w:t xml:space="preserve">as </w:t>
      </w:r>
      <w:r w:rsidR="008372B4">
        <w:t>to require a written agreement to be signed subseq</w:t>
      </w:r>
      <w:r w:rsidR="004E2DEB">
        <w:t>uent to the commissioning of a w</w:t>
      </w:r>
      <w:r w:rsidR="008372B4">
        <w:t>o</w:t>
      </w:r>
      <w:r w:rsidR="00057C20">
        <w:t xml:space="preserve">rk </w:t>
      </w:r>
      <w:r w:rsidR="004E2DEB">
        <w:t>made for h</w:t>
      </w:r>
      <w:r w:rsidR="00573272">
        <w:t xml:space="preserve">ire.  </w:t>
      </w:r>
      <w:r w:rsidR="00D331FB">
        <w:t xml:space="preserve">“The Act, which almost completely revised existing copyright law, was the product of two decades of negotiation by representatives of creators and copyright-using industries, supervised by the Copyright office and, to a lesser extent, by Congress.” </w:t>
      </w:r>
      <w:r w:rsidR="00D400F5">
        <w:t xml:space="preserve"> </w:t>
      </w:r>
      <w:r w:rsidR="00D400F5">
        <w:rPr>
          <w:i/>
          <w:iCs/>
        </w:rPr>
        <w:t>Community for Creative Non-Violence v. Reid</w:t>
      </w:r>
      <w:r w:rsidR="00D400F5">
        <w:t xml:space="preserve">, </w:t>
      </w:r>
      <w:r w:rsidR="00D331FB">
        <w:t>490 U.S.</w:t>
      </w:r>
      <w:r w:rsidR="00D400F5">
        <w:t xml:space="preserve"> 730,</w:t>
      </w:r>
      <w:r w:rsidR="00D331FB">
        <w:t xml:space="preserve"> 743</w:t>
      </w:r>
      <w:r w:rsidR="00D400F5">
        <w:t xml:space="preserve"> (1989)</w:t>
      </w:r>
      <w:r w:rsidR="00D331FB">
        <w:t xml:space="preserve">; See </w:t>
      </w:r>
      <w:r w:rsidR="00D331FB">
        <w:rPr>
          <w:i/>
          <w:iCs/>
        </w:rPr>
        <w:t xml:space="preserve">Mills Music, Inc., v. Snyder, </w:t>
      </w:r>
      <w:r w:rsidR="00D331FB">
        <w:t xml:space="preserve">469 U.S. 153, 159 </w:t>
      </w:r>
      <w:r w:rsidR="00057C20">
        <w:t>(1985);</w:t>
      </w:r>
      <w:r w:rsidR="004E2DEB">
        <w:t xml:space="preserve"> Carolyn M. Salzmann, </w:t>
      </w:r>
      <w:r w:rsidR="00D331FB">
        <w:rPr>
          <w:i/>
          <w:color w:val="000000"/>
        </w:rPr>
        <w:t>Y</w:t>
      </w:r>
      <w:r w:rsidR="004E2DEB">
        <w:rPr>
          <w:i/>
          <w:color w:val="000000"/>
        </w:rPr>
        <w:t xml:space="preserve">ou Commissioned It, You Bought It, But Do You Own It? The Work For Hire: Why Is Something So </w:t>
      </w:r>
      <w:r w:rsidR="004E2DEB">
        <w:rPr>
          <w:i/>
          <w:color w:val="000000"/>
        </w:rPr>
        <w:lastRenderedPageBreak/>
        <w:t>Simple, So Complicated</w:t>
      </w:r>
      <w:proofErr w:type="gramStart"/>
      <w:r w:rsidR="00D331FB">
        <w:rPr>
          <w:i/>
          <w:color w:val="000000"/>
        </w:rPr>
        <w:t>?,</w:t>
      </w:r>
      <w:proofErr w:type="gramEnd"/>
      <w:r w:rsidR="00D331FB">
        <w:rPr>
          <w:i/>
          <w:color w:val="000000"/>
        </w:rPr>
        <w:t xml:space="preserve"> </w:t>
      </w:r>
      <w:r w:rsidR="00D331FB">
        <w:rPr>
          <w:color w:val="000000"/>
        </w:rPr>
        <w:t xml:space="preserve">31 U. </w:t>
      </w:r>
      <w:proofErr w:type="spellStart"/>
      <w:r w:rsidR="00D331FB">
        <w:rPr>
          <w:color w:val="000000"/>
        </w:rPr>
        <w:t>Tol</w:t>
      </w:r>
      <w:proofErr w:type="spellEnd"/>
      <w:r w:rsidR="00D331FB">
        <w:rPr>
          <w:color w:val="000000"/>
        </w:rPr>
        <w:t xml:space="preserve">. L. Rev. 497 (2000). </w:t>
      </w:r>
      <w:r w:rsidR="00D331FB">
        <w:t xml:space="preserve"> </w:t>
      </w:r>
      <w:r w:rsidR="009821A5">
        <w:t>It is</w:t>
      </w:r>
      <w:r w:rsidR="00573272">
        <w:t xml:space="preserve"> not simply </w:t>
      </w:r>
      <w:r w:rsidR="00D331FB">
        <w:t xml:space="preserve">an </w:t>
      </w:r>
      <w:r w:rsidR="00573272">
        <w:t xml:space="preserve">updated Act reflecting minor changes to the 1909 </w:t>
      </w:r>
      <w:r w:rsidR="009821A5">
        <w:t xml:space="preserve">Copyright Act.  The 1976 Act addresses </w:t>
      </w:r>
      <w:r w:rsidR="00573272">
        <w:t xml:space="preserve">issues that were not present in 1909.  </w:t>
      </w:r>
      <w:r w:rsidR="009821A5">
        <w:t>In doing so</w:t>
      </w:r>
      <w:r w:rsidR="00573272">
        <w:t xml:space="preserve">, Congress needed industry </w:t>
      </w:r>
      <w:r w:rsidR="009821A5">
        <w:t xml:space="preserve">experts to </w:t>
      </w:r>
      <w:r w:rsidR="00882088">
        <w:t xml:space="preserve">specifically </w:t>
      </w:r>
      <w:r w:rsidR="009821A5">
        <w:t>address these</w:t>
      </w:r>
      <w:r w:rsidR="00573272">
        <w:t xml:space="preserve"> needs.  Decades of debate and strict scrutiny of each word of the statute only points to the fact that Congress did not intend to create internal redundancies.</w:t>
      </w:r>
    </w:p>
    <w:p w14:paraId="32E5860E" w14:textId="77777777" w:rsidR="0053644C" w:rsidRDefault="0053644C" w:rsidP="0053644C">
      <w:pPr>
        <w:tabs>
          <w:tab w:val="left" w:pos="8324"/>
        </w:tabs>
        <w:ind w:firstLine="720"/>
      </w:pPr>
      <w:r>
        <w:t xml:space="preserve">Legislative histories have found acceptance in courts in the United States for at least a century. E.g., </w:t>
      </w:r>
      <w:r w:rsidRPr="003033F8">
        <w:rPr>
          <w:i/>
          <w:iCs/>
        </w:rPr>
        <w:t>Holy Trinity Church v. United States</w:t>
      </w:r>
      <w:r>
        <w:t>, 143 U.S. 457 (1892)</w:t>
      </w:r>
      <w:r w:rsidR="00B72238">
        <w:t>.</w:t>
      </w:r>
      <w:r>
        <w:t xml:space="preserve">  Some courts have considered legislative history to be evidence of the legislative intent.</w:t>
      </w:r>
      <w:r w:rsidR="00B72238">
        <w:t xml:space="preserve"> </w:t>
      </w:r>
      <w:r>
        <w:t xml:space="preserve"> E.g., </w:t>
      </w:r>
      <w:r>
        <w:rPr>
          <w:i/>
          <w:iCs/>
        </w:rPr>
        <w:t>Bank One Chicago v. Midwest Bank &amp; Trust Co.</w:t>
      </w:r>
      <w:r>
        <w:t xml:space="preserve">, 516 U.S. 264, 273 (1995); </w:t>
      </w:r>
      <w:r>
        <w:rPr>
          <w:i/>
          <w:iCs/>
        </w:rPr>
        <w:t>See</w:t>
      </w:r>
      <w:r>
        <w:t xml:space="preserve"> Stephen </w:t>
      </w:r>
      <w:proofErr w:type="spellStart"/>
      <w:r>
        <w:t>Breyer</w:t>
      </w:r>
      <w:proofErr w:type="spellEnd"/>
      <w:r>
        <w:t xml:space="preserve">, </w:t>
      </w:r>
      <w:r>
        <w:rPr>
          <w:i/>
          <w:iCs/>
        </w:rPr>
        <w:t>On the Uses of Legislative History in Interpreting Statutes</w:t>
      </w:r>
      <w:r>
        <w:t xml:space="preserve">, 65 S. Cal. L. Rev. 845 (1992). </w:t>
      </w:r>
      <w:r w:rsidR="009821A5">
        <w:t xml:space="preserve"> </w:t>
      </w:r>
      <w:r>
        <w:t xml:space="preserve">In discussing the definition of a work make for hire the </w:t>
      </w:r>
      <w:r w:rsidRPr="0053644C">
        <w:rPr>
          <w:i/>
          <w:iCs/>
        </w:rPr>
        <w:t>1964 Revision Bill with Discussion and Comments</w:t>
      </w:r>
      <w:r>
        <w:t xml:space="preserve"> states:</w:t>
      </w:r>
    </w:p>
    <w:p w14:paraId="2A54A6D9" w14:textId="77777777" w:rsidR="0053644C" w:rsidRDefault="0053644C" w:rsidP="00AE436E">
      <w:pPr>
        <w:spacing w:line="240" w:lineRule="auto"/>
        <w:ind w:left="720" w:right="720"/>
      </w:pPr>
      <w:r>
        <w:t>It would not be considered a “work made for hire” if the contract were signed later on–after th</w:t>
      </w:r>
      <w:r w:rsidR="00AE436E">
        <w:t>e work was written, for example.</w:t>
      </w:r>
      <w:r w:rsidR="00AE436E">
        <w:br/>
      </w:r>
    </w:p>
    <w:p w14:paraId="0C918B8E" w14:textId="77777777" w:rsidR="001B3283" w:rsidRDefault="005D6275" w:rsidP="00882088">
      <w:hyperlink r:id="rId9" w:history="1">
        <w:proofErr w:type="spellStart"/>
        <w:r w:rsidR="00783A49" w:rsidRPr="00783A49">
          <w:rPr>
            <w:rStyle w:val="Hyperlink"/>
            <w:color w:val="auto"/>
            <w:u w:val="none"/>
          </w:rPr>
          <w:t>H.R.Rep</w:t>
        </w:r>
        <w:proofErr w:type="spellEnd"/>
        <w:r w:rsidR="00783A49" w:rsidRPr="00783A49">
          <w:rPr>
            <w:rStyle w:val="Hyperlink"/>
            <w:color w:val="auto"/>
            <w:u w:val="none"/>
          </w:rPr>
          <w:t xml:space="preserve">. </w:t>
        </w:r>
        <w:proofErr w:type="gramStart"/>
        <w:r w:rsidR="00783A49" w:rsidRPr="00783A49">
          <w:rPr>
            <w:rStyle w:val="Hyperlink"/>
            <w:color w:val="auto"/>
            <w:u w:val="none"/>
          </w:rPr>
          <w:t>no</w:t>
        </w:r>
        <w:proofErr w:type="gramEnd"/>
        <w:r w:rsidR="00783A49" w:rsidRPr="00783A49">
          <w:rPr>
            <w:rStyle w:val="Hyperlink"/>
            <w:color w:val="auto"/>
            <w:u w:val="none"/>
          </w:rPr>
          <w:t>. 51–374</w:t>
        </w:r>
      </w:hyperlink>
      <w:r w:rsidR="00783A49" w:rsidRPr="00783A49">
        <w:t xml:space="preserve">, 89th Cong., 1st Sess., Part 5, </w:t>
      </w:r>
      <w:r w:rsidR="00783A49" w:rsidRPr="00783A49">
        <w:rPr>
          <w:i/>
          <w:iCs/>
        </w:rPr>
        <w:t>1964 Revision Bill with Discussion and Comments,</w:t>
      </w:r>
      <w:r w:rsidR="00783A49" w:rsidRPr="00783A49">
        <w:t xml:space="preserve"> at 14</w:t>
      </w:r>
      <w:r w:rsidR="00AE436E">
        <w:t xml:space="preserve">5 (1965); </w:t>
      </w:r>
      <w:r w:rsidR="00AE436E">
        <w:rPr>
          <w:i/>
          <w:iCs/>
        </w:rPr>
        <w:t>Playboy Enterprises, Inc. v. Dumas</w:t>
      </w:r>
      <w:r w:rsidR="00AE436E">
        <w:t>, 53 F.3d 549, 558 (2d</w:t>
      </w:r>
      <w:r w:rsidR="00783A49" w:rsidRPr="00783A49">
        <w:t>.</w:t>
      </w:r>
      <w:r w:rsidR="00AE436E">
        <w:t xml:space="preserve"> Cir. 1995).  </w:t>
      </w:r>
      <w:r w:rsidR="00BC716E">
        <w:t>Moreo</w:t>
      </w:r>
      <w:r w:rsidR="0053644C">
        <w:t>ver,</w:t>
      </w:r>
      <w:r w:rsidR="004E2DEB">
        <w:t xml:space="preserve"> interpreting the statute to </w:t>
      </w:r>
      <w:r w:rsidR="00224E34">
        <w:t xml:space="preserve">require a writing to be executed before the creation of the work reflects Congress’s intent to ascertain the ownership of intellectual property rights. </w:t>
      </w:r>
      <w:r w:rsidR="00224E34" w:rsidRPr="00224E34">
        <w:rPr>
          <w:i/>
          <w:iCs/>
        </w:rPr>
        <w:t xml:space="preserve">Schiller &amp; Schmidt, Inc. v. </w:t>
      </w:r>
      <w:proofErr w:type="spellStart"/>
      <w:r w:rsidR="00224E34" w:rsidRPr="00224E34">
        <w:rPr>
          <w:i/>
          <w:iCs/>
        </w:rPr>
        <w:t>N</w:t>
      </w:r>
      <w:r w:rsidR="00224E34">
        <w:rPr>
          <w:i/>
          <w:iCs/>
        </w:rPr>
        <w:t>ordisco</w:t>
      </w:r>
      <w:proofErr w:type="spellEnd"/>
      <w:r w:rsidR="00224E34">
        <w:rPr>
          <w:i/>
          <w:iCs/>
        </w:rPr>
        <w:t xml:space="preserve"> Corp.</w:t>
      </w:r>
      <w:r w:rsidR="00224E34">
        <w:t>, 969 F.2d 410, 412 (7th Cir. 1992)</w:t>
      </w:r>
      <w:r w:rsidR="00B72238">
        <w:t>.</w:t>
      </w:r>
      <w:r w:rsidR="00224E34">
        <w:t xml:space="preserve"> </w:t>
      </w:r>
      <w:r w:rsidR="00B72238">
        <w:t xml:space="preserve"> </w:t>
      </w:r>
      <w:r w:rsidR="00224E34">
        <w:t>Here Congress was concern</w:t>
      </w:r>
      <w:r w:rsidR="009821A5">
        <w:t>ed</w:t>
      </w:r>
      <w:r w:rsidR="00224E34">
        <w:t xml:space="preserve"> that </w:t>
      </w:r>
      <w:r w:rsidR="009821A5">
        <w:t>the creators of a</w:t>
      </w:r>
      <w:r w:rsidR="00224E34">
        <w:t xml:space="preserve"> w</w:t>
      </w:r>
      <w:r w:rsidR="003033F8">
        <w:t>ork would unknowingly sign away their rights</w:t>
      </w:r>
      <w:r w:rsidR="00BC716E">
        <w:t xml:space="preserve"> in long form contracts</w:t>
      </w:r>
      <w:r w:rsidR="003033F8">
        <w:t xml:space="preserve">. </w:t>
      </w:r>
      <w:r w:rsidR="00B72238">
        <w:t xml:space="preserve"> </w:t>
      </w:r>
      <w:proofErr w:type="spellStart"/>
      <w:r w:rsidR="003033F8">
        <w:t>H.R.Rep</w:t>
      </w:r>
      <w:proofErr w:type="spellEnd"/>
      <w:r w:rsidR="003033F8">
        <w:t xml:space="preserve">. </w:t>
      </w:r>
      <w:proofErr w:type="gramStart"/>
      <w:r w:rsidR="003033F8">
        <w:t>no</w:t>
      </w:r>
      <w:proofErr w:type="gramEnd"/>
      <w:r w:rsidR="003033F8">
        <w:t>. 51-374, 89</w:t>
      </w:r>
      <w:r w:rsidR="003033F8" w:rsidRPr="003033F8">
        <w:rPr>
          <w:vertAlign w:val="superscript"/>
        </w:rPr>
        <w:t>th</w:t>
      </w:r>
      <w:r w:rsidR="003033F8">
        <w:t xml:space="preserve"> Cong., 1st Sess.</w:t>
      </w:r>
      <w:r w:rsidR="0053644C">
        <w:t>, Part 5,</w:t>
      </w:r>
      <w:r w:rsidR="00B72238" w:rsidRPr="00B72238">
        <w:rPr>
          <w:i/>
          <w:iCs/>
        </w:rPr>
        <w:t xml:space="preserve"> </w:t>
      </w:r>
      <w:r w:rsidR="0053644C" w:rsidRPr="00B72238">
        <w:rPr>
          <w:i/>
          <w:iCs/>
        </w:rPr>
        <w:t xml:space="preserve">1964 </w:t>
      </w:r>
      <w:r w:rsidR="003033F8" w:rsidRPr="00B72238">
        <w:rPr>
          <w:i/>
          <w:iCs/>
        </w:rPr>
        <w:t>R</w:t>
      </w:r>
      <w:r w:rsidR="003033F8">
        <w:rPr>
          <w:i/>
          <w:iCs/>
        </w:rPr>
        <w:t>evision Bill with Discussion and Comments</w:t>
      </w:r>
      <w:r w:rsidR="003033F8">
        <w:t>, at 145 (196</w:t>
      </w:r>
      <w:r w:rsidR="0053644C">
        <w:t>5</w:t>
      </w:r>
      <w:r w:rsidR="00B72238">
        <w:t>)</w:t>
      </w:r>
      <w:r w:rsidR="003033F8">
        <w:t>.</w:t>
      </w:r>
      <w:r w:rsidR="00BC716E">
        <w:t xml:space="preserve"> </w:t>
      </w:r>
      <w:r w:rsidR="00B72238">
        <w:t xml:space="preserve"> </w:t>
      </w:r>
      <w:r w:rsidR="00BC716E">
        <w:t xml:space="preserve">A pre-creation writing requirement would </w:t>
      </w:r>
      <w:r w:rsidR="00CD13BC">
        <w:t>determine</w:t>
      </w:r>
      <w:r w:rsidR="00BC716E">
        <w:t xml:space="preserve"> those rights from the outset. </w:t>
      </w:r>
      <w:r w:rsidR="001B3283">
        <w:t xml:space="preserve"> </w:t>
      </w:r>
      <w:r w:rsidR="009821A5">
        <w:t>A</w:t>
      </w:r>
      <w:r w:rsidR="005234DF">
        <w:t>nother one of</w:t>
      </w:r>
      <w:r w:rsidR="00487109">
        <w:t xml:space="preserve"> Congress’s goal was to “ensure predictability through advanced planning.” </w:t>
      </w:r>
      <w:proofErr w:type="gramStart"/>
      <w:r w:rsidR="00487109">
        <w:rPr>
          <w:i/>
          <w:iCs/>
        </w:rPr>
        <w:t>Community for Creative Non-Violence v. Reid</w:t>
      </w:r>
      <w:r w:rsidR="00487109">
        <w:t>, 490 U.S. 730, 750 (1989)</w:t>
      </w:r>
      <w:r w:rsidR="00B72238">
        <w:t>.</w:t>
      </w:r>
      <w:proofErr w:type="gramEnd"/>
      <w:r w:rsidR="00487109">
        <w:t xml:space="preserve">  This goal</w:t>
      </w:r>
      <w:r w:rsidR="005234DF">
        <w:t xml:space="preserve"> of predictability</w:t>
      </w:r>
      <w:r w:rsidR="00487109">
        <w:t xml:space="preserve"> </w:t>
      </w:r>
      <w:r w:rsidR="005234DF">
        <w:t>would</w:t>
      </w:r>
      <w:r w:rsidR="00487109">
        <w:t xml:space="preserve"> be thwarted if a hiring party and an independent contractor could enter </w:t>
      </w:r>
      <w:r w:rsidR="00487109">
        <w:lastRenderedPageBreak/>
        <w:t>into a work for hire agreement years after the work was created.</w:t>
      </w:r>
      <w:r w:rsidR="005234DF">
        <w:t xml:space="preserve"> </w:t>
      </w:r>
      <w:r w:rsidR="00B72238">
        <w:t xml:space="preserve"> </w:t>
      </w:r>
      <w:proofErr w:type="gramStart"/>
      <w:r w:rsidR="005234DF" w:rsidRPr="005234DF">
        <w:rPr>
          <w:i/>
          <w:iCs/>
        </w:rPr>
        <w:t>Id</w:t>
      </w:r>
      <w:r w:rsidR="005234DF">
        <w:t>. at 750.</w:t>
      </w:r>
      <w:proofErr w:type="gramEnd"/>
      <w:r w:rsidR="009821A5">
        <w:t xml:space="preserve">  Again, a pre-creation writing requirement would achieve this goal.</w:t>
      </w:r>
    </w:p>
    <w:p w14:paraId="46A38D51" w14:textId="77777777" w:rsidR="003033F8" w:rsidRDefault="001B3283" w:rsidP="00882088">
      <w:pPr>
        <w:ind w:firstLine="720"/>
      </w:pPr>
      <w:r>
        <w:t>In the case at hand, had an agreement been signed before the creation of the work, the defendant’s would have known that they were unable to create the new show because it</w:t>
      </w:r>
      <w:r w:rsidR="00AB1C6B">
        <w:t xml:space="preserve"> would violate prior copyrights.  As a result, the goals of predictability and protecting independent contracts </w:t>
      </w:r>
      <w:r w:rsidR="00882088">
        <w:t xml:space="preserve">from unconscionably </w:t>
      </w:r>
      <w:r w:rsidR="00BB2591">
        <w:t>assigning away their rights are</w:t>
      </w:r>
      <w:r w:rsidR="00AB1C6B">
        <w:t xml:space="preserve"> not achieved </w:t>
      </w:r>
      <w:r w:rsidR="00882088">
        <w:t>through</w:t>
      </w:r>
      <w:r w:rsidR="00AB1C6B">
        <w:t xml:space="preserve"> post-creation </w:t>
      </w:r>
      <w:r w:rsidR="00BB2591">
        <w:t xml:space="preserve">work made for hire </w:t>
      </w:r>
      <w:r w:rsidR="00AB1C6B">
        <w:t>agreement.</w:t>
      </w:r>
    </w:p>
    <w:p w14:paraId="0B714840" w14:textId="77777777" w:rsidR="00496AB2" w:rsidRPr="006F133E" w:rsidRDefault="00882088" w:rsidP="008A3C64">
      <w:pPr>
        <w:ind w:firstLine="720"/>
      </w:pPr>
      <w:r>
        <w:t>I</w:t>
      </w:r>
      <w:r w:rsidR="005234DF">
        <w:t xml:space="preserve">f the Court does not find the legislative history </w:t>
      </w:r>
      <w:r w:rsidR="008A3C64">
        <w:t>persuasive</w:t>
      </w:r>
      <w:r w:rsidR="005234DF">
        <w:t xml:space="preserve"> in determining legislative intent given the holding in the Supreme Court and the extensive legislative effort put into the drafting of this Act,</w:t>
      </w:r>
      <w:r w:rsidR="00896363">
        <w:t xml:space="preserve"> </w:t>
      </w:r>
      <w:r w:rsidR="00496AB2">
        <w:t>Barbara Ringer of the U.S. Copyright Office testified before Congress that her understanding of the legislation that became the 1976 Act was that a work prepared on special order or commission would not be considered a “work made for hire” if the written agreement was signed after the work wa</w:t>
      </w:r>
      <w:r w:rsidR="000C73AF">
        <w:t>s created.</w:t>
      </w:r>
      <w:r w:rsidR="00300DE0">
        <w:t xml:space="preserve">  </w:t>
      </w:r>
      <w:hyperlink r:id="rId10" w:history="1">
        <w:proofErr w:type="spellStart"/>
        <w:r w:rsidR="00300DE0" w:rsidRPr="00783A49">
          <w:rPr>
            <w:rStyle w:val="Hyperlink"/>
            <w:color w:val="auto"/>
            <w:u w:val="none"/>
          </w:rPr>
          <w:t>H.R.Rep</w:t>
        </w:r>
        <w:proofErr w:type="spellEnd"/>
        <w:r w:rsidR="00300DE0" w:rsidRPr="00783A49">
          <w:rPr>
            <w:rStyle w:val="Hyperlink"/>
            <w:color w:val="auto"/>
            <w:u w:val="none"/>
          </w:rPr>
          <w:t xml:space="preserve">. </w:t>
        </w:r>
        <w:proofErr w:type="gramStart"/>
        <w:r w:rsidR="00300DE0" w:rsidRPr="00783A49">
          <w:rPr>
            <w:rStyle w:val="Hyperlink"/>
            <w:color w:val="auto"/>
            <w:u w:val="none"/>
          </w:rPr>
          <w:t>no</w:t>
        </w:r>
        <w:proofErr w:type="gramEnd"/>
        <w:r w:rsidR="00300DE0" w:rsidRPr="00783A49">
          <w:rPr>
            <w:rStyle w:val="Hyperlink"/>
            <w:color w:val="auto"/>
            <w:u w:val="none"/>
          </w:rPr>
          <w:t>. 51–374</w:t>
        </w:r>
      </w:hyperlink>
      <w:r w:rsidR="00300DE0" w:rsidRPr="00783A49">
        <w:t xml:space="preserve">, 89th Cong., 1st Sess., Part 5, </w:t>
      </w:r>
      <w:r w:rsidR="00300DE0" w:rsidRPr="00783A49">
        <w:rPr>
          <w:i/>
          <w:iCs/>
        </w:rPr>
        <w:t>1964 Revision Bill with Discussion and Comments,</w:t>
      </w:r>
      <w:r w:rsidR="00300DE0" w:rsidRPr="00783A49">
        <w:t xml:space="preserve"> at 14</w:t>
      </w:r>
      <w:r w:rsidR="00300DE0">
        <w:t xml:space="preserve">5 (1965); </w:t>
      </w:r>
      <w:r w:rsidR="00300DE0">
        <w:rPr>
          <w:i/>
          <w:iCs/>
        </w:rPr>
        <w:t>Playboy Enterprises, Inc.</w:t>
      </w:r>
      <w:r w:rsidR="00300DE0" w:rsidRPr="00300DE0">
        <w:t>,</w:t>
      </w:r>
      <w:r w:rsidR="00300DE0">
        <w:t xml:space="preserve"> 53 F.3d at 558 (2d</w:t>
      </w:r>
      <w:r w:rsidR="00300DE0" w:rsidRPr="00783A49">
        <w:t>.</w:t>
      </w:r>
      <w:r w:rsidR="00300DE0">
        <w:t xml:space="preserve"> Cir. 1995).</w:t>
      </w:r>
      <w:r w:rsidR="009821A5">
        <w:t xml:space="preserve"> </w:t>
      </w:r>
      <w:r w:rsidR="000C73AF">
        <w:t xml:space="preserve"> </w:t>
      </w:r>
      <w:r w:rsidR="009821A5">
        <w:t>Ms. Ringer</w:t>
      </w:r>
      <w:r w:rsidR="008A3C64">
        <w:t>, an employee in the U.S. Copyright Office, presumably has</w:t>
      </w:r>
      <w:r w:rsidR="009821A5">
        <w:t xml:space="preserve"> more </w:t>
      </w:r>
      <w:r w:rsidR="008A3C64">
        <w:t xml:space="preserve">extensive </w:t>
      </w:r>
      <w:r w:rsidR="009821A5">
        <w:t xml:space="preserve">experience dealing with copyrights than the layman and </w:t>
      </w:r>
      <w:r w:rsidR="008A3C64">
        <w:t>in accordance</w:t>
      </w:r>
      <w:r w:rsidR="009821A5">
        <w:t xml:space="preserve">, her interpretation of the statute should be taken with considerable weight.  </w:t>
      </w:r>
      <w:r w:rsidR="000C73AF">
        <w:t>Given Ms. Ringer’s considerations along with the expertise of the drafters in creating a concise</w:t>
      </w:r>
      <w:r w:rsidR="008A3C64">
        <w:t xml:space="preserve"> and</w:t>
      </w:r>
      <w:r w:rsidR="00AB625F">
        <w:t xml:space="preserve"> irredundant</w:t>
      </w:r>
      <w:r w:rsidR="000C73AF">
        <w:t xml:space="preserve"> statute it is only appropriate to interpret the statute </w:t>
      </w:r>
      <w:r w:rsidR="008A3C64">
        <w:t xml:space="preserve">as </w:t>
      </w:r>
      <w:r w:rsidR="000C73AF">
        <w:t xml:space="preserve">to require a </w:t>
      </w:r>
      <w:r w:rsidR="008A3C64">
        <w:t xml:space="preserve">signed and </w:t>
      </w:r>
      <w:r w:rsidR="000C73AF">
        <w:t>written agreement prior to the commissioning of the work.</w:t>
      </w:r>
    </w:p>
    <w:p w14:paraId="13ED8157" w14:textId="77777777" w:rsidR="00B91DB7" w:rsidRPr="003E015B" w:rsidRDefault="00BB0B55" w:rsidP="003E015B">
      <w:pPr>
        <w:pStyle w:val="ListParagraph"/>
        <w:numPr>
          <w:ilvl w:val="0"/>
          <w:numId w:val="20"/>
        </w:numPr>
        <w:spacing w:line="240" w:lineRule="auto"/>
        <w:rPr>
          <w:b/>
          <w:bCs/>
        </w:rPr>
      </w:pPr>
      <w:r>
        <w:rPr>
          <w:b/>
          <w:bCs/>
        </w:rPr>
        <w:t>The Seventh Circuit has held that a work for hire agreement must be signed preceding the creation of the work</w:t>
      </w:r>
      <w:r w:rsidR="003D09DE" w:rsidRPr="003E015B">
        <w:rPr>
          <w:b/>
          <w:bCs/>
        </w:rPr>
        <w:t>.</w:t>
      </w:r>
      <w:r w:rsidR="00623A5C" w:rsidRPr="003E015B">
        <w:rPr>
          <w:b/>
          <w:bCs/>
        </w:rPr>
        <w:br/>
      </w:r>
    </w:p>
    <w:p w14:paraId="1987A207" w14:textId="77777777" w:rsidR="00B72238" w:rsidRDefault="00AB172E" w:rsidP="005A2D9F">
      <w:pPr>
        <w:ind w:firstLine="720"/>
      </w:pPr>
      <w:r>
        <w:t xml:space="preserve">The Seventh Circuit decided that a work for hire agreement must be signed before the work is created in order to effectuate the purpose of the copyright law, to make clear ownership </w:t>
      </w:r>
      <w:r>
        <w:lastRenderedPageBreak/>
        <w:t xml:space="preserve">rights in intellectual property. </w:t>
      </w:r>
      <w:r w:rsidR="00B72238">
        <w:t xml:space="preserve"> </w:t>
      </w:r>
      <w:r w:rsidRPr="00B72238">
        <w:rPr>
          <w:i/>
        </w:rPr>
        <w:t xml:space="preserve">Schiller &amp; Schmidt, Inc. v. </w:t>
      </w:r>
      <w:proofErr w:type="spellStart"/>
      <w:r w:rsidRPr="00B72238">
        <w:rPr>
          <w:i/>
        </w:rPr>
        <w:t>Nordisco</w:t>
      </w:r>
      <w:proofErr w:type="spellEnd"/>
      <w:r w:rsidRPr="00B72238">
        <w:rPr>
          <w:i/>
        </w:rPr>
        <w:t xml:space="preserve"> Corp.</w:t>
      </w:r>
      <w:r>
        <w:t xml:space="preserve">, 969 F.2d 410 (7th Cir. 1992).  In contrast, the Second Circuit has held that a written agreement can be signed at any time, even after the work is completed. </w:t>
      </w:r>
      <w:r w:rsidR="00B72238">
        <w:t xml:space="preserve"> </w:t>
      </w:r>
      <w:r w:rsidRPr="00B72238">
        <w:rPr>
          <w:i/>
        </w:rPr>
        <w:t xml:space="preserve">Playboy Enterprises, Inc. v. Dumas, </w:t>
      </w:r>
      <w:r>
        <w:t>53 F.3d 549 (2d Cir. 1995).  Thus, at first glance there appears to be a Circuit split on when the exact point in time a work made for hire agreement must be reduced to writing.  The Supreme Court has yet to formally address the issue, denying certiorari when given the opportunity.</w:t>
      </w:r>
      <w:r w:rsidRPr="00307978">
        <w:t xml:space="preserve"> </w:t>
      </w:r>
      <w:r w:rsidR="00B72238">
        <w:t xml:space="preserve"> </w:t>
      </w:r>
      <w:proofErr w:type="gramStart"/>
      <w:r w:rsidRPr="00B72238">
        <w:rPr>
          <w:i/>
          <w:iCs/>
        </w:rPr>
        <w:t>Dumas v. Playboy Enterprises, Inc.</w:t>
      </w:r>
      <w:r w:rsidRPr="00CD0948">
        <w:t>, 516 U</w:t>
      </w:r>
      <w:r>
        <w:t>.S. 1010 (1995).</w:t>
      </w:r>
      <w:proofErr w:type="gramEnd"/>
      <w:r>
        <w:t xml:space="preserve">  As a result, the split Circuit</w:t>
      </w:r>
      <w:r w:rsidR="005A2D9F">
        <w:t xml:space="preserve"> Court</w:t>
      </w:r>
      <w:r>
        <w:t xml:space="preserve"> decisions and the fact that this is an issue of first impression for this Court begs the question of which Circuit to follow.  </w:t>
      </w:r>
      <w:r w:rsidRPr="00B72238">
        <w:rPr>
          <w:bCs/>
        </w:rPr>
        <w:t xml:space="preserve">This question is not as perplexing as it may appear for three reasons.  First, the Seventh Circuit correctly decided the issue in a manner that aligns with legislative intent and public policy considerations.  Second, the </w:t>
      </w:r>
      <w:r w:rsidRPr="00B72238">
        <w:rPr>
          <w:bCs/>
          <w:i/>
          <w:iCs/>
        </w:rPr>
        <w:t>Playboy</w:t>
      </w:r>
      <w:r w:rsidRPr="00B72238">
        <w:rPr>
          <w:bCs/>
        </w:rPr>
        <w:t xml:space="preserve"> Court tiptoed around the actual issue of </w:t>
      </w:r>
      <w:r w:rsidR="001654F0">
        <w:rPr>
          <w:bCs/>
        </w:rPr>
        <w:t>whether a signed agreement needed</w:t>
      </w:r>
      <w:r w:rsidRPr="00B72238">
        <w:rPr>
          <w:bCs/>
        </w:rPr>
        <w:t xml:space="preserve"> to be memorialized before the work is created and third, even though the Supreme Court has not expressly decided the issue,</w:t>
      </w:r>
      <w:r w:rsidR="001654F0">
        <w:rPr>
          <w:bCs/>
        </w:rPr>
        <w:t xml:space="preserve"> they gave</w:t>
      </w:r>
      <w:r w:rsidRPr="00B72238">
        <w:rPr>
          <w:bCs/>
        </w:rPr>
        <w:t xml:space="preserve"> hints in </w:t>
      </w:r>
      <w:r w:rsidR="001654F0">
        <w:rPr>
          <w:bCs/>
        </w:rPr>
        <w:t>another case</w:t>
      </w:r>
      <w:r w:rsidRPr="00B72238">
        <w:rPr>
          <w:bCs/>
        </w:rPr>
        <w:t xml:space="preserve"> that would point towards requiring a signed written agreement prior to the creation of the work. </w:t>
      </w:r>
    </w:p>
    <w:p w14:paraId="035F9B99" w14:textId="77777777" w:rsidR="00B72238" w:rsidRDefault="00AB172E" w:rsidP="00882088">
      <w:pPr>
        <w:ind w:firstLine="720"/>
      </w:pPr>
      <w:r>
        <w:t xml:space="preserve">The fact pattern of </w:t>
      </w:r>
      <w:proofErr w:type="spellStart"/>
      <w:r w:rsidRPr="00B72238">
        <w:rPr>
          <w:i/>
          <w:iCs/>
        </w:rPr>
        <w:t>Nordisco</w:t>
      </w:r>
      <w:proofErr w:type="spellEnd"/>
      <w:r>
        <w:t xml:space="preserve"> is surprisingly similar to the fact pattern in the case</w:t>
      </w:r>
      <w:r w:rsidR="001654F0">
        <w:t xml:space="preserve"> at hand.  </w:t>
      </w:r>
      <w:r>
        <w:t>In both cases, an independent contractor created a work where no express</w:t>
      </w:r>
      <w:r w:rsidR="005A2D9F">
        <w:t xml:space="preserve"> written</w:t>
      </w:r>
      <w:r>
        <w:t xml:space="preserve"> work </w:t>
      </w:r>
      <w:r w:rsidR="005A2D9F">
        <w:t xml:space="preserve">made </w:t>
      </w:r>
      <w:r>
        <w:t xml:space="preserve">for hire agreement was </w:t>
      </w:r>
      <w:proofErr w:type="gramStart"/>
      <w:r w:rsidR="005A2D9F">
        <w:t>memorialized  prior</w:t>
      </w:r>
      <w:proofErr w:type="gramEnd"/>
      <w:r w:rsidR="005A2D9F">
        <w:t xml:space="preserve"> to the creation and the C</w:t>
      </w:r>
      <w:r>
        <w:t>ourt held</w:t>
      </w:r>
      <w:r w:rsidR="001654F0">
        <w:t xml:space="preserve"> that </w:t>
      </w:r>
      <w:r w:rsidR="00882088">
        <w:t>“[t]</w:t>
      </w:r>
      <w:r w:rsidR="00882088" w:rsidRPr="00882088">
        <w:t>he writing must precede the creation of the property in order to serve its purpose of identifying the (</w:t>
      </w:r>
      <w:proofErr w:type="spellStart"/>
      <w:r w:rsidR="00882088" w:rsidRPr="00882088">
        <w:t>noncreator</w:t>
      </w:r>
      <w:proofErr w:type="spellEnd"/>
      <w:r w:rsidR="00882088" w:rsidRPr="00882088">
        <w:t>) owner unequivocally.</w:t>
      </w:r>
      <w:r w:rsidR="00882088">
        <w:t xml:space="preserve">  </w:t>
      </w:r>
      <w:proofErr w:type="spellStart"/>
      <w:proofErr w:type="gramStart"/>
      <w:r w:rsidR="00882088" w:rsidRPr="00882088">
        <w:rPr>
          <w:i/>
        </w:rPr>
        <w:t>Nordisco</w:t>
      </w:r>
      <w:proofErr w:type="spellEnd"/>
      <w:r w:rsidR="00882088">
        <w:rPr>
          <w:iCs/>
        </w:rPr>
        <w:t xml:space="preserve">, </w:t>
      </w:r>
      <w:r w:rsidR="00882088" w:rsidRPr="00882088">
        <w:rPr>
          <w:bCs/>
          <w:iCs/>
        </w:rPr>
        <w:t>969</w:t>
      </w:r>
      <w:r w:rsidR="00882088">
        <w:rPr>
          <w:bCs/>
        </w:rPr>
        <w:t xml:space="preserve"> F.2d at 413</w:t>
      </w:r>
      <w:r w:rsidRPr="00B72238">
        <w:rPr>
          <w:bCs/>
        </w:rPr>
        <w:t xml:space="preserve"> (7th Cir. 1992).</w:t>
      </w:r>
      <w:proofErr w:type="gramEnd"/>
      <w:r>
        <w:t xml:space="preserve"> </w:t>
      </w:r>
      <w:r w:rsidR="00882088">
        <w:t xml:space="preserve"> </w:t>
      </w:r>
      <w:r>
        <w:t xml:space="preserve">As a result, the holding in </w:t>
      </w:r>
      <w:proofErr w:type="spellStart"/>
      <w:r w:rsidRPr="00B72238">
        <w:rPr>
          <w:i/>
          <w:iCs/>
        </w:rPr>
        <w:t>Nordisco</w:t>
      </w:r>
      <w:proofErr w:type="spellEnd"/>
      <w:r>
        <w:t xml:space="preserve"> should apply to the present case. To hold otherwise would be contrary to the intent of congress and case law to ensure predictability of ownership and make work products readily marketable.</w:t>
      </w:r>
    </w:p>
    <w:p w14:paraId="05E0E0C7" w14:textId="77777777" w:rsidR="00B72238" w:rsidRDefault="00AB172E" w:rsidP="008A3C64">
      <w:pPr>
        <w:ind w:firstLine="720"/>
      </w:pPr>
      <w:r w:rsidRPr="00B72238">
        <w:rPr>
          <w:bCs/>
        </w:rPr>
        <w:lastRenderedPageBreak/>
        <w:t xml:space="preserve">The </w:t>
      </w:r>
      <w:r w:rsidRPr="00B72238">
        <w:rPr>
          <w:bCs/>
          <w:i/>
        </w:rPr>
        <w:t>Playboy</w:t>
      </w:r>
      <w:r w:rsidRPr="00B72238">
        <w:rPr>
          <w:bCs/>
        </w:rPr>
        <w:t xml:space="preserve"> Court tiptoed around the issue of when a written agreement must be signed to constitute a work made for hire under the 1976 Act.  </w:t>
      </w:r>
      <w:r w:rsidR="001654F0">
        <w:rPr>
          <w:bCs/>
        </w:rPr>
        <w:t>The Court recognized</w:t>
      </w:r>
      <w:r w:rsidRPr="00B72238">
        <w:rPr>
          <w:bCs/>
        </w:rPr>
        <w:t xml:space="preserve"> both sides of the argument citing the Seventh Circuit's established rule that a work made for hire agreement must be signed prior to the creation of a work to fully achieve Congress's goal of predictability and marketability in copyrights.  They were "not convinced, however, that the actual writing memorializing the agreement must be executed before the creation of the work."  </w:t>
      </w:r>
      <w:r w:rsidR="001654F0" w:rsidRPr="001654F0">
        <w:rPr>
          <w:bCs/>
          <w:i/>
          <w:iCs/>
        </w:rPr>
        <w:t>Playboy Enterprises Inc.</w:t>
      </w:r>
      <w:r w:rsidR="001654F0">
        <w:rPr>
          <w:bCs/>
        </w:rPr>
        <w:t xml:space="preserve">, </w:t>
      </w:r>
      <w:r w:rsidRPr="001654F0">
        <w:rPr>
          <w:bCs/>
        </w:rPr>
        <w:t>53</w:t>
      </w:r>
      <w:r w:rsidRPr="00B72238">
        <w:rPr>
          <w:bCs/>
        </w:rPr>
        <w:t xml:space="preserve"> F.3d at 559 (2d. Cir. 1995).  In analyzing the opposing argument the Court looked to Professor </w:t>
      </w:r>
      <w:proofErr w:type="spellStart"/>
      <w:r w:rsidRPr="00B72238">
        <w:rPr>
          <w:bCs/>
        </w:rPr>
        <w:t>Nimmer</w:t>
      </w:r>
      <w:proofErr w:type="spellEnd"/>
      <w:r w:rsidRPr="00B72238">
        <w:rPr>
          <w:bCs/>
        </w:rPr>
        <w:t xml:space="preserve"> who argued that having a bright line rule would only frust</w:t>
      </w:r>
      <w:r w:rsidR="001654F0">
        <w:rPr>
          <w:bCs/>
        </w:rPr>
        <w:t>r</w:t>
      </w:r>
      <w:r w:rsidRPr="00B72238">
        <w:rPr>
          <w:bCs/>
        </w:rPr>
        <w:t xml:space="preserve">ate parties if they already had unanimous intent absent a written agreement and because </w:t>
      </w:r>
      <w:r w:rsidR="008A3C64">
        <w:rPr>
          <w:bCs/>
        </w:rPr>
        <w:t>in the event</w:t>
      </w:r>
      <w:r w:rsidRPr="00B72238">
        <w:rPr>
          <w:bCs/>
        </w:rPr>
        <w:t xml:space="preserve"> a written agreement was not signed before the creation of the work, one party could </w:t>
      </w:r>
      <w:r w:rsidR="001654F0" w:rsidRPr="00B72238">
        <w:rPr>
          <w:bCs/>
        </w:rPr>
        <w:t>renege</w:t>
      </w:r>
      <w:r w:rsidRPr="00B72238">
        <w:rPr>
          <w:bCs/>
        </w:rPr>
        <w:t xml:space="preserve"> on the deal if unfavorable results were foreseeable after the creation of the work.  Melville B. </w:t>
      </w:r>
      <w:proofErr w:type="spellStart"/>
      <w:r w:rsidRPr="00B72238">
        <w:rPr>
          <w:bCs/>
        </w:rPr>
        <w:t>Nimmer</w:t>
      </w:r>
      <w:proofErr w:type="spellEnd"/>
      <w:r w:rsidRPr="00B72238">
        <w:rPr>
          <w:bCs/>
        </w:rPr>
        <w:t xml:space="preserve">, </w:t>
      </w:r>
      <w:proofErr w:type="spellStart"/>
      <w:r w:rsidRPr="00B72238">
        <w:rPr>
          <w:bCs/>
        </w:rPr>
        <w:t>Nimmer</w:t>
      </w:r>
      <w:proofErr w:type="spellEnd"/>
      <w:r w:rsidRPr="00B72238">
        <w:rPr>
          <w:bCs/>
        </w:rPr>
        <w:t xml:space="preserve"> on Copyright, § 5.03[B][2][b] (1994).</w:t>
      </w:r>
    </w:p>
    <w:p w14:paraId="1F1BDB82" w14:textId="77777777" w:rsidR="00B72238" w:rsidRDefault="00AB172E" w:rsidP="001654F0">
      <w:pPr>
        <w:ind w:firstLine="720"/>
      </w:pPr>
      <w:r w:rsidRPr="00B72238">
        <w:rPr>
          <w:bCs/>
        </w:rPr>
        <w:t xml:space="preserve">The Second Circuit finally agreed with Professor </w:t>
      </w:r>
      <w:proofErr w:type="spellStart"/>
      <w:r w:rsidRPr="00B72238">
        <w:rPr>
          <w:bCs/>
        </w:rPr>
        <w:t>Nimmer</w:t>
      </w:r>
      <w:proofErr w:type="spellEnd"/>
      <w:r w:rsidRPr="00B72238">
        <w:rPr>
          <w:bCs/>
        </w:rPr>
        <w:t xml:space="preserve"> in that the rule needed further testing in the crucible of fact patterns by future cases. </w:t>
      </w:r>
      <w:r w:rsidR="001654F0">
        <w:rPr>
          <w:bCs/>
        </w:rPr>
        <w:t xml:space="preserve"> </w:t>
      </w:r>
      <w:r w:rsidR="001654F0">
        <w:rPr>
          <w:bCs/>
          <w:i/>
        </w:rPr>
        <w:t>Playboy Enterprises Inc.</w:t>
      </w:r>
      <w:r w:rsidR="001654F0">
        <w:rPr>
          <w:bCs/>
          <w:iCs/>
        </w:rPr>
        <w:t>, 53 F.3d at 559 (2d. Cir. 1995)</w:t>
      </w:r>
      <w:r w:rsidRPr="00B72238">
        <w:rPr>
          <w:bCs/>
          <w:i/>
        </w:rPr>
        <w:t xml:space="preserve">.  </w:t>
      </w:r>
      <w:r w:rsidRPr="00B72238">
        <w:rPr>
          <w:bCs/>
        </w:rPr>
        <w:t xml:space="preserve">In </w:t>
      </w:r>
      <w:r w:rsidRPr="00B72238">
        <w:rPr>
          <w:bCs/>
          <w:i/>
        </w:rPr>
        <w:t>deciding</w:t>
      </w:r>
      <w:r w:rsidRPr="00B72238">
        <w:rPr>
          <w:bCs/>
        </w:rPr>
        <w:t xml:space="preserve"> the issue the court merely "</w:t>
      </w:r>
      <w:proofErr w:type="gramStart"/>
      <w:r w:rsidRPr="00B72238">
        <w:rPr>
          <w:bCs/>
        </w:rPr>
        <w:t>assume[</w:t>
      </w:r>
      <w:proofErr w:type="gramEnd"/>
      <w:r w:rsidRPr="00B72238">
        <w:rPr>
          <w:bCs/>
        </w:rPr>
        <w:t>d] that the writing requirement of § 101(2) [could] be met by a writing executed after the work is created, if the writing confirm[</w:t>
      </w:r>
      <w:proofErr w:type="spellStart"/>
      <w:r w:rsidRPr="00B72238">
        <w:rPr>
          <w:bCs/>
        </w:rPr>
        <w:t>ed</w:t>
      </w:r>
      <w:proofErr w:type="spellEnd"/>
      <w:r w:rsidRPr="00B72238">
        <w:rPr>
          <w:bCs/>
        </w:rPr>
        <w:t xml:space="preserve">] a prior agreement, either explicit or implicit, made before the creation of the work.  </w:t>
      </w:r>
      <w:r w:rsidRPr="00B72238">
        <w:rPr>
          <w:bCs/>
          <w:i/>
        </w:rPr>
        <w:t>Id.</w:t>
      </w:r>
      <w:r w:rsidRPr="00B72238">
        <w:rPr>
          <w:bCs/>
        </w:rPr>
        <w:t xml:space="preserve">  This begs the question of whether the Second Circuit, in deciding this case, thought of the possibility of a factual dispute in an oral agreement prior to the creation of a work. </w:t>
      </w:r>
    </w:p>
    <w:p w14:paraId="0AC0B9F6" w14:textId="77777777" w:rsidR="008A3C64" w:rsidRDefault="00AB172E" w:rsidP="008A3C64">
      <w:pPr>
        <w:ind w:firstLine="720"/>
        <w:rPr>
          <w:b/>
          <w:bCs/>
        </w:rPr>
      </w:pPr>
      <w:r w:rsidRPr="00B72238">
        <w:rPr>
          <w:bCs/>
        </w:rPr>
        <w:t xml:space="preserve">Finally the Supreme Court shed light on the issue in </w:t>
      </w:r>
      <w:r w:rsidRPr="00B72238">
        <w:rPr>
          <w:bCs/>
          <w:i/>
          <w:iCs/>
        </w:rPr>
        <w:t>Community for Creative Non-Violence v. Reid</w:t>
      </w:r>
      <w:r w:rsidRPr="00B72238">
        <w:rPr>
          <w:bCs/>
        </w:rPr>
        <w:t xml:space="preserve">, 490 U.S. 730 (1989).  In laying out that in the copyright marketplace, “the parties negotiate with an expectation that one of them will own the copyright in the completed work.” </w:t>
      </w:r>
      <w:proofErr w:type="gramStart"/>
      <w:r w:rsidRPr="00B72238">
        <w:rPr>
          <w:bCs/>
          <w:i/>
          <w:iCs/>
        </w:rPr>
        <w:t>Id.</w:t>
      </w:r>
      <w:r w:rsidRPr="00B72238">
        <w:rPr>
          <w:bCs/>
        </w:rPr>
        <w:t xml:space="preserve"> at 749.</w:t>
      </w:r>
      <w:proofErr w:type="gramEnd"/>
      <w:r w:rsidRPr="00B72238">
        <w:rPr>
          <w:bCs/>
        </w:rPr>
        <w:t xml:space="preserve">  With that expectation in mind the Supreme Court stated that “the parties at the </w:t>
      </w:r>
      <w:r w:rsidRPr="00B72238">
        <w:rPr>
          <w:bCs/>
        </w:rPr>
        <w:lastRenderedPageBreak/>
        <w:t xml:space="preserve">outset can settle on relevant contractual terms, such as the price for the work and the ownerships of reproduction rights.” </w:t>
      </w:r>
      <w:r w:rsidR="005A2D9F">
        <w:rPr>
          <w:bCs/>
        </w:rPr>
        <w:t xml:space="preserve"> </w:t>
      </w:r>
      <w:proofErr w:type="gramStart"/>
      <w:r w:rsidRPr="00B72238">
        <w:rPr>
          <w:bCs/>
          <w:i/>
          <w:iCs/>
        </w:rPr>
        <w:t xml:space="preserve">Id. </w:t>
      </w:r>
      <w:r w:rsidRPr="00B72238">
        <w:rPr>
          <w:bCs/>
        </w:rPr>
        <w:t>at 750.</w:t>
      </w:r>
      <w:proofErr w:type="gramEnd"/>
      <w:r w:rsidRPr="00B72238">
        <w:rPr>
          <w:bCs/>
        </w:rPr>
        <w:t xml:space="preserve">  </w:t>
      </w:r>
      <w:r w:rsidR="008A3C64">
        <w:rPr>
          <w:bCs/>
        </w:rPr>
        <w:t>It logically follows, in accordance with the view of the Supreme Court, that a pre-creation written and signed agreement must be executed in order for a work to be considered a work made for hire between an employer and an independent contractor.</w:t>
      </w:r>
    </w:p>
    <w:p w14:paraId="1EAABA88" w14:textId="77777777" w:rsidR="005C2F4B" w:rsidRPr="008A3C64" w:rsidRDefault="00775E8C" w:rsidP="008A3C64">
      <w:pPr>
        <w:pStyle w:val="ListParagraph"/>
        <w:numPr>
          <w:ilvl w:val="0"/>
          <w:numId w:val="20"/>
        </w:numPr>
        <w:rPr>
          <w:b/>
          <w:bCs/>
        </w:rPr>
      </w:pPr>
      <w:r w:rsidRPr="008A3C64">
        <w:rPr>
          <w:b/>
          <w:bCs/>
        </w:rPr>
        <w:t>Public policy requires the written agreement to be signed before the creation of the work.</w:t>
      </w:r>
    </w:p>
    <w:p w14:paraId="16C2B4AC" w14:textId="77777777" w:rsidR="005C2F4B" w:rsidRDefault="000C73AF" w:rsidP="00B739FA">
      <w:pPr>
        <w:ind w:firstLine="720"/>
        <w:rPr>
          <w:rFonts w:asciiTheme="majorBidi" w:hAnsiTheme="majorBidi" w:cstheme="majorBidi"/>
          <w:szCs w:val="24"/>
        </w:rPr>
      </w:pPr>
      <w:r>
        <w:rPr>
          <w:rFonts w:asciiTheme="majorBidi" w:hAnsiTheme="majorBidi" w:cstheme="majorBidi"/>
          <w:szCs w:val="24"/>
        </w:rPr>
        <w:t>There are</w:t>
      </w:r>
      <w:r w:rsidR="005C2F4B">
        <w:rPr>
          <w:rFonts w:asciiTheme="majorBidi" w:hAnsiTheme="majorBidi" w:cstheme="majorBidi"/>
          <w:szCs w:val="24"/>
        </w:rPr>
        <w:t xml:space="preserve"> practical policy considerations to take into account</w:t>
      </w:r>
      <w:r w:rsidR="00015A42">
        <w:rPr>
          <w:rFonts w:asciiTheme="majorBidi" w:hAnsiTheme="majorBidi" w:cstheme="majorBidi"/>
          <w:szCs w:val="24"/>
        </w:rPr>
        <w:t xml:space="preserve"> in requiring a signed written w</w:t>
      </w:r>
      <w:r w:rsidR="005C2F4B">
        <w:rPr>
          <w:rFonts w:asciiTheme="majorBidi" w:hAnsiTheme="majorBidi" w:cstheme="majorBidi"/>
          <w:szCs w:val="24"/>
        </w:rPr>
        <w:t xml:space="preserve">ork </w:t>
      </w:r>
      <w:r w:rsidR="00015A42">
        <w:rPr>
          <w:rFonts w:asciiTheme="majorBidi" w:hAnsiTheme="majorBidi" w:cstheme="majorBidi"/>
          <w:szCs w:val="24"/>
        </w:rPr>
        <w:t>made for h</w:t>
      </w:r>
      <w:r w:rsidR="005C2F4B">
        <w:rPr>
          <w:rFonts w:asciiTheme="majorBidi" w:hAnsiTheme="majorBidi" w:cstheme="majorBidi"/>
          <w:szCs w:val="24"/>
        </w:rPr>
        <w:t xml:space="preserve">ire agreement prior to commissioning of the work.  First, to allow potential owners to take authorship from the original creator would put the original creator at a severe disadvantage in bargaining power if an express written agreement was allowed to be signed subsequent to the completion of the work.  If the work the independent contractor created </w:t>
      </w:r>
      <w:r w:rsidR="00B739FA">
        <w:rPr>
          <w:rFonts w:asciiTheme="majorBidi" w:hAnsiTheme="majorBidi" w:cstheme="majorBidi"/>
          <w:szCs w:val="24"/>
        </w:rPr>
        <w:t xml:space="preserve">turned out to be </w:t>
      </w:r>
      <w:r w:rsidR="005C2F4B">
        <w:rPr>
          <w:rFonts w:asciiTheme="majorBidi" w:hAnsiTheme="majorBidi" w:cstheme="majorBidi"/>
          <w:szCs w:val="24"/>
        </w:rPr>
        <w:t xml:space="preserve">something the commissioning party no longer needed or </w:t>
      </w:r>
      <w:r w:rsidR="00B739FA">
        <w:rPr>
          <w:rFonts w:asciiTheme="majorBidi" w:hAnsiTheme="majorBidi" w:cstheme="majorBidi"/>
          <w:szCs w:val="24"/>
        </w:rPr>
        <w:t xml:space="preserve">the work </w:t>
      </w:r>
      <w:r w:rsidR="005C2F4B">
        <w:rPr>
          <w:rFonts w:asciiTheme="majorBidi" w:hAnsiTheme="majorBidi" w:cstheme="majorBidi"/>
          <w:szCs w:val="24"/>
        </w:rPr>
        <w:t>it did not fit the exact specification of the commissioning party that party could refuse to pay the independent contractor leaving th</w:t>
      </w:r>
      <w:r w:rsidR="00B739FA">
        <w:rPr>
          <w:rFonts w:asciiTheme="majorBidi" w:hAnsiTheme="majorBidi" w:cstheme="majorBidi"/>
          <w:szCs w:val="24"/>
        </w:rPr>
        <w:t>e independent contractor with a potentially</w:t>
      </w:r>
      <w:r w:rsidR="005C2F4B">
        <w:rPr>
          <w:rFonts w:asciiTheme="majorBidi" w:hAnsiTheme="majorBidi" w:cstheme="majorBidi"/>
          <w:szCs w:val="24"/>
        </w:rPr>
        <w:t xml:space="preserve"> </w:t>
      </w:r>
      <w:r>
        <w:rPr>
          <w:rFonts w:asciiTheme="majorBidi" w:hAnsiTheme="majorBidi" w:cstheme="majorBidi"/>
          <w:szCs w:val="24"/>
        </w:rPr>
        <w:t>devastating</w:t>
      </w:r>
      <w:r w:rsidR="005C2F4B">
        <w:rPr>
          <w:rFonts w:asciiTheme="majorBidi" w:hAnsiTheme="majorBidi" w:cstheme="majorBidi"/>
          <w:szCs w:val="24"/>
        </w:rPr>
        <w:t xml:space="preserve"> loss</w:t>
      </w:r>
      <w:r w:rsidR="00B739FA">
        <w:rPr>
          <w:rFonts w:asciiTheme="majorBidi" w:hAnsiTheme="majorBidi" w:cstheme="majorBidi"/>
          <w:szCs w:val="24"/>
        </w:rPr>
        <w:t xml:space="preserve"> created </w:t>
      </w:r>
      <w:r w:rsidR="005C2F4B">
        <w:rPr>
          <w:rFonts w:asciiTheme="majorBidi" w:hAnsiTheme="majorBidi" w:cstheme="majorBidi"/>
          <w:szCs w:val="24"/>
        </w:rPr>
        <w:t>a work specifically for</w:t>
      </w:r>
      <w:r w:rsidR="00B739FA">
        <w:rPr>
          <w:rFonts w:asciiTheme="majorBidi" w:hAnsiTheme="majorBidi" w:cstheme="majorBidi"/>
          <w:szCs w:val="24"/>
        </w:rPr>
        <w:t xml:space="preserve"> the other party.  Not requiring a pre-creation written agreement would allow</w:t>
      </w:r>
      <w:r w:rsidR="005C2F4B">
        <w:rPr>
          <w:rFonts w:asciiTheme="majorBidi" w:hAnsiTheme="majorBidi" w:cstheme="majorBidi"/>
          <w:szCs w:val="24"/>
        </w:rPr>
        <w:t xml:space="preserve"> the commissioning party to expressly deny an agreement was ever made in the first place, leaving the independent contractor empty handed.  Further, it would allow the commissioning power to offer less </w:t>
      </w:r>
      <w:r>
        <w:rPr>
          <w:rFonts w:asciiTheme="majorBidi" w:hAnsiTheme="majorBidi" w:cstheme="majorBidi"/>
          <w:szCs w:val="24"/>
        </w:rPr>
        <w:t>compensation</w:t>
      </w:r>
      <w:r w:rsidR="005C2F4B">
        <w:rPr>
          <w:rFonts w:asciiTheme="majorBidi" w:hAnsiTheme="majorBidi" w:cstheme="majorBidi"/>
          <w:szCs w:val="24"/>
        </w:rPr>
        <w:t xml:space="preserve"> with the threat that if the independent contract did not accept to the lower amount the commissioning party would walk away from the agreement.  Therefore, in order </w:t>
      </w:r>
      <w:r>
        <w:rPr>
          <w:rFonts w:asciiTheme="majorBidi" w:hAnsiTheme="majorBidi" w:cstheme="majorBidi"/>
          <w:szCs w:val="24"/>
        </w:rPr>
        <w:t>to create a level playing field</w:t>
      </w:r>
      <w:r w:rsidR="00B739FA">
        <w:rPr>
          <w:rFonts w:asciiTheme="majorBidi" w:hAnsiTheme="majorBidi" w:cstheme="majorBidi"/>
          <w:szCs w:val="24"/>
        </w:rPr>
        <w:t>,</w:t>
      </w:r>
      <w:r w:rsidR="005C2F4B">
        <w:rPr>
          <w:rFonts w:asciiTheme="majorBidi" w:hAnsiTheme="majorBidi" w:cstheme="majorBidi"/>
          <w:szCs w:val="24"/>
        </w:rPr>
        <w:t xml:space="preserve"> a written ag</w:t>
      </w:r>
      <w:r>
        <w:rPr>
          <w:rFonts w:asciiTheme="majorBidi" w:hAnsiTheme="majorBidi" w:cstheme="majorBidi"/>
          <w:szCs w:val="24"/>
        </w:rPr>
        <w:t>reement must be signed before the</w:t>
      </w:r>
      <w:r w:rsidR="005C2F4B">
        <w:rPr>
          <w:rFonts w:asciiTheme="majorBidi" w:hAnsiTheme="majorBidi" w:cstheme="majorBidi"/>
          <w:szCs w:val="24"/>
        </w:rPr>
        <w:t xml:space="preserve"> work is </w:t>
      </w:r>
      <w:r w:rsidR="00B739FA">
        <w:rPr>
          <w:rFonts w:asciiTheme="majorBidi" w:hAnsiTheme="majorBidi" w:cstheme="majorBidi"/>
          <w:szCs w:val="24"/>
        </w:rPr>
        <w:t>created</w:t>
      </w:r>
      <w:r w:rsidR="005C2F4B">
        <w:rPr>
          <w:rFonts w:asciiTheme="majorBidi" w:hAnsiTheme="majorBidi" w:cstheme="majorBidi"/>
          <w:szCs w:val="24"/>
        </w:rPr>
        <w:t>.</w:t>
      </w:r>
    </w:p>
    <w:p w14:paraId="4699E5FA" w14:textId="77777777" w:rsidR="005C2F4B" w:rsidRDefault="005C2F4B" w:rsidP="00B739FA">
      <w:pPr>
        <w:ind w:firstLine="720"/>
        <w:rPr>
          <w:rFonts w:asciiTheme="majorBidi" w:hAnsiTheme="majorBidi" w:cstheme="majorBidi"/>
          <w:szCs w:val="24"/>
        </w:rPr>
      </w:pPr>
      <w:r>
        <w:rPr>
          <w:rFonts w:asciiTheme="majorBidi" w:hAnsiTheme="majorBidi" w:cstheme="majorBidi"/>
          <w:szCs w:val="24"/>
        </w:rPr>
        <w:t>Second</w:t>
      </w:r>
      <w:r w:rsidR="000C73AF">
        <w:rPr>
          <w:rFonts w:asciiTheme="majorBidi" w:hAnsiTheme="majorBidi" w:cstheme="majorBidi"/>
          <w:szCs w:val="24"/>
        </w:rPr>
        <w:t>, if the courts</w:t>
      </w:r>
      <w:r>
        <w:rPr>
          <w:rFonts w:asciiTheme="majorBidi" w:hAnsiTheme="majorBidi" w:cstheme="majorBidi"/>
          <w:szCs w:val="24"/>
        </w:rPr>
        <w:t xml:space="preserve"> allow prior, unwritten agreements to substi</w:t>
      </w:r>
      <w:r w:rsidR="000C73AF">
        <w:rPr>
          <w:rFonts w:asciiTheme="majorBidi" w:hAnsiTheme="majorBidi" w:cstheme="majorBidi"/>
          <w:szCs w:val="24"/>
        </w:rPr>
        <w:t>tute for a written agreement at the onset of a W</w:t>
      </w:r>
      <w:r>
        <w:rPr>
          <w:rFonts w:asciiTheme="majorBidi" w:hAnsiTheme="majorBidi" w:cstheme="majorBidi"/>
          <w:szCs w:val="24"/>
        </w:rPr>
        <w:t xml:space="preserve">ork </w:t>
      </w:r>
      <w:r w:rsidR="000C73AF">
        <w:rPr>
          <w:rFonts w:asciiTheme="majorBidi" w:hAnsiTheme="majorBidi" w:cstheme="majorBidi"/>
          <w:szCs w:val="24"/>
        </w:rPr>
        <w:t>Made for H</w:t>
      </w:r>
      <w:r>
        <w:rPr>
          <w:rFonts w:asciiTheme="majorBidi" w:hAnsiTheme="majorBidi" w:cstheme="majorBidi"/>
          <w:szCs w:val="24"/>
        </w:rPr>
        <w:t xml:space="preserve">ire agreement, the courts will be flooded with cases </w:t>
      </w:r>
      <w:r>
        <w:rPr>
          <w:rFonts w:asciiTheme="majorBidi" w:hAnsiTheme="majorBidi" w:cstheme="majorBidi"/>
          <w:szCs w:val="24"/>
        </w:rPr>
        <w:lastRenderedPageBreak/>
        <w:t>regarding issues of act.  The courts will</w:t>
      </w:r>
      <w:r w:rsidR="000C73AF">
        <w:rPr>
          <w:rFonts w:asciiTheme="majorBidi" w:hAnsiTheme="majorBidi" w:cstheme="majorBidi"/>
          <w:szCs w:val="24"/>
        </w:rPr>
        <w:t xml:space="preserve"> then need to decide </w:t>
      </w:r>
      <w:r>
        <w:rPr>
          <w:rFonts w:asciiTheme="majorBidi" w:hAnsiTheme="majorBidi" w:cstheme="majorBidi"/>
          <w:szCs w:val="24"/>
        </w:rPr>
        <w:t xml:space="preserve">whether or not there was an oral agreement and what was said in the oral agreement.  </w:t>
      </w:r>
      <w:r w:rsidR="000C73AF">
        <w:rPr>
          <w:rFonts w:asciiTheme="majorBidi" w:hAnsiTheme="majorBidi" w:cstheme="majorBidi"/>
          <w:szCs w:val="24"/>
        </w:rPr>
        <w:t>Foresight proves that this will only</w:t>
      </w:r>
      <w:r>
        <w:rPr>
          <w:rFonts w:asciiTheme="majorBidi" w:hAnsiTheme="majorBidi" w:cstheme="majorBidi"/>
          <w:szCs w:val="24"/>
        </w:rPr>
        <w:t xml:space="preserve"> create more problems</w:t>
      </w:r>
      <w:r w:rsidR="00B739FA">
        <w:rPr>
          <w:rFonts w:asciiTheme="majorBidi" w:hAnsiTheme="majorBidi" w:cstheme="majorBidi"/>
          <w:szCs w:val="24"/>
        </w:rPr>
        <w:t xml:space="preserve"> and work for the Court</w:t>
      </w:r>
      <w:r>
        <w:rPr>
          <w:rFonts w:asciiTheme="majorBidi" w:hAnsiTheme="majorBidi" w:cstheme="majorBidi"/>
          <w:szCs w:val="24"/>
        </w:rPr>
        <w:t xml:space="preserve">.  </w:t>
      </w:r>
      <w:r w:rsidR="00B739FA">
        <w:rPr>
          <w:rFonts w:asciiTheme="majorBidi" w:hAnsiTheme="majorBidi" w:cstheme="majorBidi"/>
          <w:szCs w:val="24"/>
        </w:rPr>
        <w:t>After a trial the i</w:t>
      </w:r>
      <w:r>
        <w:rPr>
          <w:rFonts w:asciiTheme="majorBidi" w:hAnsiTheme="majorBidi" w:cstheme="majorBidi"/>
          <w:szCs w:val="24"/>
        </w:rPr>
        <w:t>ssue will</w:t>
      </w:r>
      <w:r w:rsidR="00B739FA">
        <w:rPr>
          <w:rFonts w:asciiTheme="majorBidi" w:hAnsiTheme="majorBidi" w:cstheme="majorBidi"/>
          <w:szCs w:val="24"/>
        </w:rPr>
        <w:t xml:space="preserve"> then</w:t>
      </w:r>
      <w:r>
        <w:rPr>
          <w:rFonts w:asciiTheme="majorBidi" w:hAnsiTheme="majorBidi" w:cstheme="majorBidi"/>
          <w:szCs w:val="24"/>
        </w:rPr>
        <w:t xml:space="preserve"> be sent to the jury, as it is an issue of fact and the argument thus turns to: do we want the fate of copyrights in the hands of a jury who might not have a full comprehension of the complicated laws of copyrights?  Perhaps it is better that we have a bright line rule to follow.  </w:t>
      </w:r>
      <w:r w:rsidR="00AE436E">
        <w:rPr>
          <w:rFonts w:asciiTheme="majorBidi" w:hAnsiTheme="majorBidi" w:cstheme="majorBidi"/>
          <w:szCs w:val="24"/>
        </w:rPr>
        <w:t xml:space="preserve">This is exactly </w:t>
      </w:r>
      <w:r>
        <w:rPr>
          <w:rFonts w:asciiTheme="majorBidi" w:hAnsiTheme="majorBidi" w:cstheme="majorBidi"/>
          <w:szCs w:val="24"/>
        </w:rPr>
        <w:t>what th</w:t>
      </w:r>
      <w:r w:rsidR="00AE436E">
        <w:rPr>
          <w:rFonts w:asciiTheme="majorBidi" w:hAnsiTheme="majorBidi" w:cstheme="majorBidi"/>
          <w:szCs w:val="24"/>
        </w:rPr>
        <w:t>e 1976 Act sought out to define.</w:t>
      </w:r>
      <w:r>
        <w:rPr>
          <w:rFonts w:asciiTheme="majorBidi" w:hAnsiTheme="majorBidi" w:cstheme="majorBidi"/>
          <w:szCs w:val="24"/>
        </w:rPr>
        <w:t xml:space="preserve">  Having a bright line rule would turn the issue of fact into an issue of law.  A national standard of copyright protection opposed to different regions having different standards based on what is customary in each particular region.</w:t>
      </w:r>
    </w:p>
    <w:p w14:paraId="19188A34" w14:textId="77777777" w:rsidR="00E37D3B" w:rsidRDefault="00CD13BC" w:rsidP="00CD13BC">
      <w:r>
        <w:rPr>
          <w:rFonts w:asciiTheme="majorBidi" w:hAnsiTheme="majorBidi" w:cstheme="majorBidi"/>
          <w:szCs w:val="24"/>
        </w:rPr>
        <w:tab/>
        <w:t>The opposing side</w:t>
      </w:r>
      <w:r w:rsidR="005C2F4B">
        <w:rPr>
          <w:rFonts w:asciiTheme="majorBidi" w:hAnsiTheme="majorBidi" w:cstheme="majorBidi"/>
          <w:szCs w:val="24"/>
        </w:rPr>
        <w:t xml:space="preserve"> argue</w:t>
      </w:r>
      <w:r>
        <w:rPr>
          <w:rFonts w:asciiTheme="majorBidi" w:hAnsiTheme="majorBidi" w:cstheme="majorBidi"/>
          <w:szCs w:val="24"/>
        </w:rPr>
        <w:t>s</w:t>
      </w:r>
      <w:r w:rsidR="005C2F4B">
        <w:rPr>
          <w:rFonts w:asciiTheme="majorBidi" w:hAnsiTheme="majorBidi" w:cstheme="majorBidi"/>
          <w:szCs w:val="24"/>
        </w:rPr>
        <w:t xml:space="preserve"> that if both parties </w:t>
      </w:r>
      <w:r>
        <w:rPr>
          <w:rFonts w:asciiTheme="majorBidi" w:hAnsiTheme="majorBidi" w:cstheme="majorBidi"/>
          <w:szCs w:val="24"/>
        </w:rPr>
        <w:t xml:space="preserve">enter into an oral </w:t>
      </w:r>
      <w:r w:rsidR="005C2F4B">
        <w:rPr>
          <w:rFonts w:asciiTheme="majorBidi" w:hAnsiTheme="majorBidi" w:cstheme="majorBidi"/>
          <w:szCs w:val="24"/>
        </w:rPr>
        <w:t>agree</w:t>
      </w:r>
      <w:r>
        <w:rPr>
          <w:rFonts w:asciiTheme="majorBidi" w:hAnsiTheme="majorBidi" w:cstheme="majorBidi"/>
          <w:szCs w:val="24"/>
        </w:rPr>
        <w:t>ment,</w:t>
      </w:r>
      <w:r w:rsidR="005C2F4B">
        <w:rPr>
          <w:rFonts w:asciiTheme="majorBidi" w:hAnsiTheme="majorBidi" w:cstheme="majorBidi"/>
          <w:szCs w:val="24"/>
        </w:rPr>
        <w:t xml:space="preserve"> t</w:t>
      </w:r>
      <w:r w:rsidR="00AE436E">
        <w:rPr>
          <w:rFonts w:asciiTheme="majorBidi" w:hAnsiTheme="majorBidi" w:cstheme="majorBidi"/>
          <w:szCs w:val="24"/>
        </w:rPr>
        <w:t>h</w:t>
      </w:r>
      <w:r w:rsidR="005C2F4B">
        <w:rPr>
          <w:rFonts w:asciiTheme="majorBidi" w:hAnsiTheme="majorBidi" w:cstheme="majorBidi"/>
          <w:szCs w:val="24"/>
        </w:rPr>
        <w:t xml:space="preserve">e court </w:t>
      </w:r>
      <w:r>
        <w:rPr>
          <w:rFonts w:asciiTheme="majorBidi" w:hAnsiTheme="majorBidi" w:cstheme="majorBidi"/>
          <w:szCs w:val="24"/>
        </w:rPr>
        <w:t>should</w:t>
      </w:r>
      <w:r w:rsidR="005C2F4B">
        <w:rPr>
          <w:rFonts w:asciiTheme="majorBidi" w:hAnsiTheme="majorBidi" w:cstheme="majorBidi"/>
          <w:szCs w:val="24"/>
        </w:rPr>
        <w:t xml:space="preserve"> validate their agreement. </w:t>
      </w:r>
      <w:r>
        <w:rPr>
          <w:rFonts w:asciiTheme="majorBidi" w:hAnsiTheme="majorBidi" w:cstheme="majorBidi"/>
          <w:szCs w:val="24"/>
        </w:rPr>
        <w:t>However,</w:t>
      </w:r>
      <w:r w:rsidR="005C2F4B">
        <w:rPr>
          <w:rFonts w:asciiTheme="majorBidi" w:hAnsiTheme="majorBidi" w:cstheme="majorBidi"/>
          <w:szCs w:val="24"/>
        </w:rPr>
        <w:t xml:space="preserve"> a whole new realm of cases would arise out of the disputes between the parties. The law provides how a man, </w:t>
      </w:r>
      <w:r w:rsidR="00B41636">
        <w:rPr>
          <w:rFonts w:asciiTheme="majorBidi" w:hAnsiTheme="majorBidi" w:cstheme="majorBidi"/>
          <w:szCs w:val="24"/>
        </w:rPr>
        <w:t>or woman, can commission a work</w:t>
      </w:r>
      <w:r w:rsidR="005C2F4B">
        <w:rPr>
          <w:rFonts w:asciiTheme="majorBidi" w:hAnsiTheme="majorBidi" w:cstheme="majorBidi"/>
          <w:szCs w:val="24"/>
        </w:rPr>
        <w:t xml:space="preserve"> made for hire. To do this, it is only necessary for him to observe and conform to the requirements of these laws. Simply speaking, a work made for hire agreement for an independent contractor need only be in writing before the commissioning of the work. This is not something that w</w:t>
      </w:r>
      <w:r w:rsidR="00B739FA">
        <w:rPr>
          <w:rFonts w:asciiTheme="majorBidi" w:hAnsiTheme="majorBidi" w:cstheme="majorBidi"/>
          <w:szCs w:val="24"/>
        </w:rPr>
        <w:t>ould be particularly taxing on either party. T</w:t>
      </w:r>
      <w:r w:rsidR="005C2F4B">
        <w:rPr>
          <w:rFonts w:asciiTheme="majorBidi" w:hAnsiTheme="majorBidi" w:cstheme="majorBidi"/>
          <w:szCs w:val="24"/>
        </w:rPr>
        <w:t>hese agreements would most likely be in the form of a boilerplate contract and would</w:t>
      </w:r>
      <w:r w:rsidR="00B739FA">
        <w:rPr>
          <w:rFonts w:asciiTheme="majorBidi" w:hAnsiTheme="majorBidi" w:cstheme="majorBidi"/>
          <w:szCs w:val="24"/>
        </w:rPr>
        <w:t xml:space="preserve"> save each party</w:t>
      </w:r>
      <w:r w:rsidR="005C2F4B">
        <w:rPr>
          <w:rFonts w:asciiTheme="majorBidi" w:hAnsiTheme="majorBidi" w:cstheme="majorBidi"/>
          <w:szCs w:val="24"/>
        </w:rPr>
        <w:t xml:space="preserve"> a lot of money in attorney and </w:t>
      </w:r>
      <w:r w:rsidR="00B739FA">
        <w:rPr>
          <w:rFonts w:asciiTheme="majorBidi" w:hAnsiTheme="majorBidi" w:cstheme="majorBidi"/>
          <w:szCs w:val="24"/>
        </w:rPr>
        <w:t>court fees as well as save the C</w:t>
      </w:r>
      <w:r w:rsidR="005C2F4B">
        <w:rPr>
          <w:rFonts w:asciiTheme="majorBidi" w:hAnsiTheme="majorBidi" w:cstheme="majorBidi"/>
          <w:szCs w:val="24"/>
        </w:rPr>
        <w:t>ourt</w:t>
      </w:r>
      <w:r w:rsidR="00B739FA">
        <w:rPr>
          <w:rFonts w:asciiTheme="majorBidi" w:hAnsiTheme="majorBidi" w:cstheme="majorBidi"/>
          <w:szCs w:val="24"/>
        </w:rPr>
        <w:t>’</w:t>
      </w:r>
      <w:r w:rsidR="005C2F4B">
        <w:rPr>
          <w:rFonts w:asciiTheme="majorBidi" w:hAnsiTheme="majorBidi" w:cstheme="majorBidi"/>
          <w:szCs w:val="24"/>
        </w:rPr>
        <w:t>s time.</w:t>
      </w:r>
    </w:p>
    <w:p w14:paraId="5D7AB352" w14:textId="77777777" w:rsidR="00B91DB7" w:rsidRDefault="00775E8C" w:rsidP="00FD5153">
      <w:pPr>
        <w:jc w:val="center"/>
        <w:rPr>
          <w:b/>
          <w:bCs/>
          <w:i/>
          <w:iCs/>
        </w:rPr>
      </w:pPr>
      <w:r>
        <w:rPr>
          <w:b/>
          <w:bCs/>
          <w:u w:val="single"/>
        </w:rPr>
        <w:t>CONCLUSION</w:t>
      </w:r>
    </w:p>
    <w:p w14:paraId="473E471A" w14:textId="77777777" w:rsidR="003D09DE" w:rsidRDefault="00ED0086" w:rsidP="005A54E0">
      <w:r>
        <w:tab/>
        <w:t>In light of all the evidence, it is clear that Congress did in fact intend for § 201(b) o</w:t>
      </w:r>
      <w:r w:rsidR="00AC3935">
        <w:t>f</w:t>
      </w:r>
      <w:r>
        <w:t xml:space="preserve"> the Copyright Act of 1976 to require an express written and signed agreement by the parties prior to the commission of a works made for hire. </w:t>
      </w:r>
      <w:r w:rsidR="00D15413">
        <w:t xml:space="preserve"> </w:t>
      </w:r>
      <w:r>
        <w:t>In confirming that Congress did not intend</w:t>
      </w:r>
      <w:r w:rsidR="00AC3935">
        <w:t xml:space="preserve"> to be redundant in the statute it would be inappropriate and a misuse of judicial authority to not grant </w:t>
      </w:r>
      <w:r w:rsidR="00AC3935">
        <w:lastRenderedPageBreak/>
        <w:t xml:space="preserve">this motion to dismiss. </w:t>
      </w:r>
      <w:r w:rsidR="00D15413">
        <w:t xml:space="preserve"> </w:t>
      </w:r>
      <w:r w:rsidR="003D09DE">
        <w:t xml:space="preserve">To argue otherwise would require the </w:t>
      </w:r>
      <w:r w:rsidR="005A54E0">
        <w:t>C</w:t>
      </w:r>
      <w:r w:rsidR="003D09DE">
        <w:t>ourt to both disregard the Copyright Act of 1976’s plain meaning and legislative history and dis</w:t>
      </w:r>
      <w:r w:rsidR="00075D76">
        <w:t xml:space="preserve">avow </w:t>
      </w:r>
      <w:r w:rsidR="007876A8">
        <w:t>the weight of relevant cases</w:t>
      </w:r>
      <w:r w:rsidR="00075D76">
        <w:t xml:space="preserve"> and logical public policy</w:t>
      </w:r>
      <w:r w:rsidR="007876A8">
        <w:t xml:space="preserve"> considerations</w:t>
      </w:r>
      <w:r w:rsidR="00075D76">
        <w:t xml:space="preserve">. </w:t>
      </w:r>
      <w:r w:rsidR="00D15413">
        <w:t xml:space="preserve"> </w:t>
      </w:r>
      <w:r w:rsidR="00075D76">
        <w:t>As such, Defendants urge the Court to grant this Motion and dismiss Plaintiff’s Complaint for failure to state a claim.</w:t>
      </w:r>
    </w:p>
    <w:p w14:paraId="3B3A8304" w14:textId="77777777" w:rsidR="00075D76" w:rsidRDefault="00075D76" w:rsidP="00075D76"/>
    <w:p w14:paraId="4EC110BC" w14:textId="77777777" w:rsidR="003D09DE" w:rsidRDefault="003D09DE" w:rsidP="00ED0086">
      <w:r>
        <w:t xml:space="preserve">Dated: </w:t>
      </w:r>
      <w:r w:rsidR="00057C20">
        <w:rPr>
          <w:u w:val="single"/>
        </w:rPr>
        <w:t>February 28</w:t>
      </w:r>
      <w:r w:rsidRPr="00057C20">
        <w:rPr>
          <w:u w:val="single"/>
        </w:rPr>
        <w:t>, 2012</w:t>
      </w:r>
      <w:r w:rsidR="001654F0">
        <w:tab/>
      </w:r>
      <w:r w:rsidR="001654F0">
        <w:tab/>
      </w:r>
      <w:r w:rsidR="001654F0">
        <w:tab/>
      </w:r>
      <w:r w:rsidR="001654F0">
        <w:tab/>
      </w:r>
      <w:r w:rsidR="001654F0">
        <w:tab/>
      </w:r>
      <w:r>
        <w:t>Respectfully submitted,</w:t>
      </w:r>
    </w:p>
    <w:p w14:paraId="5FABE5CB" w14:textId="77777777" w:rsidR="003D09DE" w:rsidRDefault="003D09DE" w:rsidP="005D6275">
      <w:pPr>
        <w:spacing w:line="240" w:lineRule="auto"/>
      </w:pPr>
      <w:r>
        <w:tab/>
      </w:r>
      <w:r>
        <w:tab/>
      </w:r>
      <w:r>
        <w:tab/>
      </w:r>
      <w:r>
        <w:tab/>
      </w:r>
      <w:r>
        <w:tab/>
      </w:r>
      <w:r>
        <w:tab/>
      </w:r>
      <w:r>
        <w:tab/>
      </w:r>
      <w:r>
        <w:tab/>
        <w:t>______________________________</w:t>
      </w:r>
      <w:r>
        <w:br/>
      </w:r>
      <w:r>
        <w:tab/>
      </w:r>
      <w:r>
        <w:tab/>
      </w:r>
      <w:r>
        <w:tab/>
      </w:r>
      <w:r>
        <w:tab/>
      </w:r>
      <w:r>
        <w:tab/>
      </w:r>
      <w:r>
        <w:tab/>
      </w:r>
      <w:r>
        <w:tab/>
      </w:r>
      <w:r>
        <w:tab/>
      </w:r>
      <w:r w:rsidR="005D6275">
        <w:rPr>
          <w:rFonts w:eastAsia="Times New Roman" w:cs="Times New Roman"/>
          <w:szCs w:val="24"/>
        </w:rPr>
        <w:t>&lt;redacted&gt;&lt;/redacted&gt;</w:t>
      </w:r>
      <w:bookmarkStart w:id="0" w:name="_GoBack"/>
      <w:bookmarkEnd w:id="0"/>
      <w:r>
        <w:t xml:space="preserve"> </w:t>
      </w:r>
    </w:p>
    <w:p w14:paraId="609B935B" w14:textId="77777777" w:rsidR="003D09DE" w:rsidRDefault="003D09DE" w:rsidP="003D09DE">
      <w:pPr>
        <w:spacing w:line="240" w:lineRule="auto"/>
      </w:pPr>
    </w:p>
    <w:p w14:paraId="4B70F881" w14:textId="77777777" w:rsidR="003D09DE" w:rsidRPr="00ED0086" w:rsidRDefault="003D09DE" w:rsidP="003D09DE">
      <w:pPr>
        <w:spacing w:line="240" w:lineRule="auto"/>
      </w:pPr>
      <w:r>
        <w:tab/>
      </w:r>
      <w:r>
        <w:tab/>
      </w:r>
      <w:r>
        <w:tab/>
      </w:r>
      <w:r>
        <w:tab/>
      </w:r>
      <w:r>
        <w:tab/>
      </w:r>
      <w:r>
        <w:tab/>
      </w:r>
      <w:r>
        <w:tab/>
      </w:r>
      <w:r>
        <w:tab/>
        <w:t>Attorney for Defendants</w:t>
      </w:r>
    </w:p>
    <w:sectPr w:rsidR="003D09DE" w:rsidRPr="00ED0086">
      <w:headerReference w:type="default" r:id="rId11"/>
      <w:footerReference w:type="default" r:id="rId12"/>
      <w:pgSz w:w="12240" w:h="15840"/>
      <w:pgMar w:top="1440" w:right="1440" w:bottom="1440" w:left="1440" w:header="720" w:footer="720" w:gutter="0"/>
      <w:cols w:sep="1"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69B835" w14:textId="77777777" w:rsidR="00087C31" w:rsidRDefault="00087C31" w:rsidP="00FA6ACF">
      <w:pPr>
        <w:spacing w:line="240" w:lineRule="auto"/>
      </w:pPr>
      <w:r>
        <w:separator/>
      </w:r>
    </w:p>
  </w:endnote>
  <w:endnote w:type="continuationSeparator" w:id="0">
    <w:p w14:paraId="4B5D9B20" w14:textId="77777777" w:rsidR="00087C31" w:rsidRDefault="00087C31" w:rsidP="00FA6A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4240313"/>
      <w:docPartObj>
        <w:docPartGallery w:val="Page Numbers (Bottom of Page)"/>
        <w:docPartUnique/>
      </w:docPartObj>
    </w:sdtPr>
    <w:sdtEndPr>
      <w:rPr>
        <w:noProof/>
      </w:rPr>
    </w:sdtEndPr>
    <w:sdtContent>
      <w:p w14:paraId="15668FD8" w14:textId="77777777" w:rsidR="003C0FD3" w:rsidRDefault="003C0FD3">
        <w:pPr>
          <w:pStyle w:val="Footer"/>
          <w:jc w:val="center"/>
        </w:pPr>
        <w:r>
          <w:fldChar w:fldCharType="begin"/>
        </w:r>
        <w:r>
          <w:instrText xml:space="preserve"> PAGE   \* MERGEFORMAT </w:instrText>
        </w:r>
        <w:r>
          <w:fldChar w:fldCharType="separate"/>
        </w:r>
        <w:r w:rsidR="005D6275">
          <w:rPr>
            <w:noProof/>
          </w:rPr>
          <w:t>14</w:t>
        </w:r>
        <w:r>
          <w:rPr>
            <w:noProof/>
          </w:rPr>
          <w:fldChar w:fldCharType="end"/>
        </w:r>
      </w:p>
    </w:sdtContent>
  </w:sdt>
  <w:p w14:paraId="1AA916DB" w14:textId="77777777" w:rsidR="003C0FD3" w:rsidRDefault="003C0FD3" w:rsidP="003E015B">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FA3CA9" w14:textId="77777777" w:rsidR="00087C31" w:rsidRDefault="00087C31" w:rsidP="00FA6ACF">
      <w:pPr>
        <w:spacing w:line="240" w:lineRule="auto"/>
      </w:pPr>
      <w:r>
        <w:separator/>
      </w:r>
    </w:p>
  </w:footnote>
  <w:footnote w:type="continuationSeparator" w:id="0">
    <w:p w14:paraId="2AF986DB" w14:textId="77777777" w:rsidR="00087C31" w:rsidRDefault="00087C31" w:rsidP="00FA6ACF">
      <w:pPr>
        <w:spacing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0CD2B7" w14:textId="77777777" w:rsidR="003C0FD3" w:rsidRDefault="003C0FD3" w:rsidP="003E015B">
    <w:pPr>
      <w:pStyle w:val="Header"/>
      <w:jc w:val="cent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F5721"/>
    <w:multiLevelType w:val="hybridMultilevel"/>
    <w:tmpl w:val="86A629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237718"/>
    <w:multiLevelType w:val="hybridMultilevel"/>
    <w:tmpl w:val="ED9E6EEE"/>
    <w:lvl w:ilvl="0" w:tplc="402EA8F2">
      <w:start w:val="1"/>
      <w:numFmt w:val="decimal"/>
      <w:lvlText w:val="%1."/>
      <w:lvlJc w:val="left"/>
      <w:pPr>
        <w:ind w:left="1440" w:hanging="360"/>
      </w:pPr>
    </w:lvl>
    <w:lvl w:ilvl="1" w:tplc="C046AF9A">
      <w:start w:val="1"/>
      <w:numFmt w:val="lowerLetter"/>
      <w:lvlText w:val="%2."/>
      <w:lvlJc w:val="left"/>
      <w:pPr>
        <w:ind w:left="2160" w:hanging="360"/>
      </w:pPr>
    </w:lvl>
    <w:lvl w:ilvl="2" w:tplc="5DEA3938">
      <w:start w:val="1"/>
      <w:numFmt w:val="lowerRoman"/>
      <w:lvlText w:val="%3."/>
      <w:lvlJc w:val="right"/>
      <w:pPr>
        <w:ind w:left="2880" w:hanging="180"/>
      </w:pPr>
    </w:lvl>
    <w:lvl w:ilvl="3" w:tplc="9DB6F1C0">
      <w:start w:val="1"/>
      <w:numFmt w:val="decimal"/>
      <w:lvlText w:val="%4."/>
      <w:lvlJc w:val="left"/>
      <w:pPr>
        <w:ind w:left="3600" w:hanging="360"/>
      </w:pPr>
    </w:lvl>
    <w:lvl w:ilvl="4" w:tplc="FDDA6030">
      <w:start w:val="1"/>
      <w:numFmt w:val="lowerLetter"/>
      <w:lvlText w:val="%5."/>
      <w:lvlJc w:val="left"/>
      <w:pPr>
        <w:ind w:left="4320" w:hanging="360"/>
      </w:pPr>
    </w:lvl>
    <w:lvl w:ilvl="5" w:tplc="8990EA10">
      <w:start w:val="1"/>
      <w:numFmt w:val="lowerRoman"/>
      <w:lvlText w:val="%6."/>
      <w:lvlJc w:val="right"/>
      <w:pPr>
        <w:ind w:left="5040" w:hanging="180"/>
      </w:pPr>
    </w:lvl>
    <w:lvl w:ilvl="6" w:tplc="1F58FDA6">
      <w:start w:val="1"/>
      <w:numFmt w:val="decimal"/>
      <w:lvlText w:val="%7."/>
      <w:lvlJc w:val="left"/>
      <w:pPr>
        <w:ind w:left="5760" w:hanging="360"/>
      </w:pPr>
    </w:lvl>
    <w:lvl w:ilvl="7" w:tplc="6A804C82">
      <w:start w:val="1"/>
      <w:numFmt w:val="lowerLetter"/>
      <w:lvlText w:val="%8."/>
      <w:lvlJc w:val="left"/>
      <w:pPr>
        <w:ind w:left="6480" w:hanging="360"/>
      </w:pPr>
    </w:lvl>
    <w:lvl w:ilvl="8" w:tplc="86FCEF36">
      <w:start w:val="1"/>
      <w:numFmt w:val="lowerRoman"/>
      <w:lvlText w:val="%9."/>
      <w:lvlJc w:val="right"/>
      <w:pPr>
        <w:ind w:left="7200" w:hanging="180"/>
      </w:pPr>
    </w:lvl>
  </w:abstractNum>
  <w:abstractNum w:abstractNumId="2">
    <w:nsid w:val="12C122DE"/>
    <w:multiLevelType w:val="hybridMultilevel"/>
    <w:tmpl w:val="605C24F8"/>
    <w:lvl w:ilvl="0" w:tplc="E97E4A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4216D22"/>
    <w:multiLevelType w:val="hybridMultilevel"/>
    <w:tmpl w:val="ED9E6EEE"/>
    <w:lvl w:ilvl="0" w:tplc="6E2C1BF6">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DBA14B4"/>
    <w:multiLevelType w:val="hybridMultilevel"/>
    <w:tmpl w:val="DE445768"/>
    <w:lvl w:ilvl="0" w:tplc="1DF45F6C">
      <w:start w:val="1"/>
      <w:numFmt w:val="decimal"/>
      <w:lvlText w:val="%1."/>
      <w:lvlJc w:val="left"/>
      <w:pPr>
        <w:ind w:left="1080" w:hanging="360"/>
      </w:pPr>
    </w:lvl>
    <w:lvl w:ilvl="1" w:tplc="080AA3A4">
      <w:start w:val="1"/>
      <w:numFmt w:val="lowerLetter"/>
      <w:lvlText w:val="%2."/>
      <w:lvlJc w:val="left"/>
      <w:pPr>
        <w:ind w:left="1800" w:hanging="360"/>
      </w:pPr>
    </w:lvl>
    <w:lvl w:ilvl="2" w:tplc="61CC3160">
      <w:start w:val="1"/>
      <w:numFmt w:val="lowerRoman"/>
      <w:lvlText w:val="%3."/>
      <w:lvlJc w:val="right"/>
      <w:pPr>
        <w:ind w:left="2520" w:hanging="180"/>
      </w:pPr>
    </w:lvl>
    <w:lvl w:ilvl="3" w:tplc="8466A340">
      <w:start w:val="1"/>
      <w:numFmt w:val="decimal"/>
      <w:lvlText w:val="%4."/>
      <w:lvlJc w:val="left"/>
      <w:pPr>
        <w:ind w:left="3240" w:hanging="360"/>
      </w:pPr>
    </w:lvl>
    <w:lvl w:ilvl="4" w:tplc="47E0AE9A">
      <w:start w:val="1"/>
      <w:numFmt w:val="lowerLetter"/>
      <w:lvlText w:val="%5."/>
      <w:lvlJc w:val="left"/>
      <w:pPr>
        <w:ind w:left="3960" w:hanging="360"/>
      </w:pPr>
    </w:lvl>
    <w:lvl w:ilvl="5" w:tplc="E5E4DDC4">
      <w:start w:val="1"/>
      <w:numFmt w:val="lowerRoman"/>
      <w:lvlText w:val="%6."/>
      <w:lvlJc w:val="right"/>
      <w:pPr>
        <w:ind w:left="4680" w:hanging="180"/>
      </w:pPr>
    </w:lvl>
    <w:lvl w:ilvl="6" w:tplc="61402B68">
      <w:start w:val="1"/>
      <w:numFmt w:val="decimal"/>
      <w:lvlText w:val="%7."/>
      <w:lvlJc w:val="left"/>
      <w:pPr>
        <w:ind w:left="5400" w:hanging="360"/>
      </w:pPr>
    </w:lvl>
    <w:lvl w:ilvl="7" w:tplc="B4AE0E7A">
      <w:start w:val="1"/>
      <w:numFmt w:val="lowerLetter"/>
      <w:lvlText w:val="%8."/>
      <w:lvlJc w:val="left"/>
      <w:pPr>
        <w:ind w:left="6120" w:hanging="360"/>
      </w:pPr>
    </w:lvl>
    <w:lvl w:ilvl="8" w:tplc="AB743520">
      <w:start w:val="1"/>
      <w:numFmt w:val="lowerRoman"/>
      <w:lvlText w:val="%9."/>
      <w:lvlJc w:val="right"/>
      <w:pPr>
        <w:ind w:left="6840" w:hanging="180"/>
      </w:pPr>
    </w:lvl>
  </w:abstractNum>
  <w:abstractNum w:abstractNumId="5">
    <w:nsid w:val="23EB21BB"/>
    <w:multiLevelType w:val="hybridMultilevel"/>
    <w:tmpl w:val="8C145C74"/>
    <w:lvl w:ilvl="0" w:tplc="15469C18">
      <w:start w:val="1"/>
      <w:numFmt w:val="upperLetter"/>
      <w:lvlText w:val="%1."/>
      <w:lvlJc w:val="left"/>
      <w:pPr>
        <w:ind w:left="720" w:hanging="360"/>
      </w:pPr>
    </w:lvl>
    <w:lvl w:ilvl="1" w:tplc="DF0C64AA">
      <w:start w:val="1"/>
      <w:numFmt w:val="lowerLetter"/>
      <w:lvlText w:val="%2."/>
      <w:lvlJc w:val="left"/>
      <w:pPr>
        <w:ind w:left="1440" w:hanging="360"/>
      </w:pPr>
    </w:lvl>
    <w:lvl w:ilvl="2" w:tplc="67C20ACC">
      <w:start w:val="1"/>
      <w:numFmt w:val="lowerRoman"/>
      <w:lvlText w:val="%3."/>
      <w:lvlJc w:val="right"/>
      <w:pPr>
        <w:ind w:left="2160" w:hanging="180"/>
      </w:pPr>
    </w:lvl>
    <w:lvl w:ilvl="3" w:tplc="9822F526">
      <w:start w:val="1"/>
      <w:numFmt w:val="decimal"/>
      <w:lvlText w:val="%4."/>
      <w:lvlJc w:val="left"/>
      <w:pPr>
        <w:ind w:left="2880" w:hanging="360"/>
      </w:pPr>
    </w:lvl>
    <w:lvl w:ilvl="4" w:tplc="6D06E63C">
      <w:start w:val="1"/>
      <w:numFmt w:val="lowerLetter"/>
      <w:lvlText w:val="%5."/>
      <w:lvlJc w:val="left"/>
      <w:pPr>
        <w:ind w:left="3600" w:hanging="360"/>
      </w:pPr>
    </w:lvl>
    <w:lvl w:ilvl="5" w:tplc="0B2CD6E4">
      <w:start w:val="1"/>
      <w:numFmt w:val="lowerRoman"/>
      <w:lvlText w:val="%6."/>
      <w:lvlJc w:val="right"/>
      <w:pPr>
        <w:ind w:left="4320" w:hanging="180"/>
      </w:pPr>
    </w:lvl>
    <w:lvl w:ilvl="6" w:tplc="77B49036">
      <w:start w:val="1"/>
      <w:numFmt w:val="decimal"/>
      <w:lvlText w:val="%7."/>
      <w:lvlJc w:val="left"/>
      <w:pPr>
        <w:ind w:left="5040" w:hanging="360"/>
      </w:pPr>
    </w:lvl>
    <w:lvl w:ilvl="7" w:tplc="E326CDCC">
      <w:start w:val="1"/>
      <w:numFmt w:val="lowerLetter"/>
      <w:lvlText w:val="%8."/>
      <w:lvlJc w:val="left"/>
      <w:pPr>
        <w:ind w:left="5760" w:hanging="360"/>
      </w:pPr>
    </w:lvl>
    <w:lvl w:ilvl="8" w:tplc="A6B26E56">
      <w:start w:val="1"/>
      <w:numFmt w:val="lowerRoman"/>
      <w:lvlText w:val="%9."/>
      <w:lvlJc w:val="right"/>
      <w:pPr>
        <w:ind w:left="6480" w:hanging="180"/>
      </w:pPr>
    </w:lvl>
  </w:abstractNum>
  <w:abstractNum w:abstractNumId="6">
    <w:nsid w:val="38932762"/>
    <w:multiLevelType w:val="hybridMultilevel"/>
    <w:tmpl w:val="67221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97B6BE9"/>
    <w:multiLevelType w:val="hybridMultilevel"/>
    <w:tmpl w:val="633C6BD0"/>
    <w:lvl w:ilvl="0" w:tplc="AD4A6B42">
      <w:start w:val="1"/>
      <w:numFmt w:val="upperRoman"/>
      <w:lvlText w:val="%1."/>
      <w:lvlJc w:val="left"/>
      <w:pPr>
        <w:ind w:left="1080" w:hanging="720"/>
      </w:pPr>
    </w:lvl>
    <w:lvl w:ilvl="1" w:tplc="47D65B02">
      <w:start w:val="1"/>
      <w:numFmt w:val="lowerLetter"/>
      <w:lvlText w:val="%2."/>
      <w:lvlJc w:val="left"/>
      <w:pPr>
        <w:ind w:left="1440" w:hanging="360"/>
      </w:pPr>
    </w:lvl>
    <w:lvl w:ilvl="2" w:tplc="AD1C9FA8">
      <w:start w:val="1"/>
      <w:numFmt w:val="lowerRoman"/>
      <w:lvlText w:val="%3."/>
      <w:lvlJc w:val="right"/>
      <w:pPr>
        <w:ind w:left="2160" w:hanging="180"/>
      </w:pPr>
    </w:lvl>
    <w:lvl w:ilvl="3" w:tplc="81588154">
      <w:start w:val="1"/>
      <w:numFmt w:val="decimal"/>
      <w:lvlText w:val="%4."/>
      <w:lvlJc w:val="left"/>
      <w:pPr>
        <w:ind w:left="2880" w:hanging="360"/>
      </w:pPr>
    </w:lvl>
    <w:lvl w:ilvl="4" w:tplc="EA34727A">
      <w:start w:val="1"/>
      <w:numFmt w:val="lowerLetter"/>
      <w:lvlText w:val="%5."/>
      <w:lvlJc w:val="left"/>
      <w:pPr>
        <w:ind w:left="3600" w:hanging="360"/>
      </w:pPr>
    </w:lvl>
    <w:lvl w:ilvl="5" w:tplc="1C5444BE">
      <w:start w:val="1"/>
      <w:numFmt w:val="lowerRoman"/>
      <w:lvlText w:val="%6."/>
      <w:lvlJc w:val="right"/>
      <w:pPr>
        <w:ind w:left="4320" w:hanging="180"/>
      </w:pPr>
    </w:lvl>
    <w:lvl w:ilvl="6" w:tplc="80D88568">
      <w:start w:val="1"/>
      <w:numFmt w:val="decimal"/>
      <w:lvlText w:val="%7."/>
      <w:lvlJc w:val="left"/>
      <w:pPr>
        <w:ind w:left="5040" w:hanging="360"/>
      </w:pPr>
    </w:lvl>
    <w:lvl w:ilvl="7" w:tplc="74369600">
      <w:start w:val="1"/>
      <w:numFmt w:val="lowerLetter"/>
      <w:lvlText w:val="%8."/>
      <w:lvlJc w:val="left"/>
      <w:pPr>
        <w:ind w:left="5760" w:hanging="360"/>
      </w:pPr>
    </w:lvl>
    <w:lvl w:ilvl="8" w:tplc="0A1AD318">
      <w:start w:val="1"/>
      <w:numFmt w:val="lowerRoman"/>
      <w:lvlText w:val="%9."/>
      <w:lvlJc w:val="right"/>
      <w:pPr>
        <w:ind w:left="6480" w:hanging="180"/>
      </w:pPr>
    </w:lvl>
  </w:abstractNum>
  <w:abstractNum w:abstractNumId="8">
    <w:nsid w:val="3E39444E"/>
    <w:multiLevelType w:val="hybridMultilevel"/>
    <w:tmpl w:val="C6C63F0C"/>
    <w:lvl w:ilvl="0" w:tplc="CD7C990E">
      <w:start w:val="1"/>
      <w:numFmt w:val="decimal"/>
      <w:lvlText w:val="%1."/>
      <w:lvlJc w:val="left"/>
      <w:pPr>
        <w:ind w:left="720" w:hanging="360"/>
      </w:pPr>
    </w:lvl>
    <w:lvl w:ilvl="1" w:tplc="19C4E6F0">
      <w:start w:val="1"/>
      <w:numFmt w:val="lowerLetter"/>
      <w:lvlText w:val="%2."/>
      <w:lvlJc w:val="left"/>
      <w:pPr>
        <w:ind w:left="1440" w:hanging="360"/>
      </w:pPr>
    </w:lvl>
    <w:lvl w:ilvl="2" w:tplc="2E34F684">
      <w:start w:val="1"/>
      <w:numFmt w:val="lowerRoman"/>
      <w:lvlText w:val="%3."/>
      <w:lvlJc w:val="right"/>
      <w:pPr>
        <w:ind w:left="2160" w:hanging="180"/>
      </w:pPr>
    </w:lvl>
    <w:lvl w:ilvl="3" w:tplc="C6F8A5A2">
      <w:start w:val="1"/>
      <w:numFmt w:val="decimal"/>
      <w:lvlText w:val="%4."/>
      <w:lvlJc w:val="left"/>
      <w:pPr>
        <w:ind w:left="2880" w:hanging="360"/>
      </w:pPr>
    </w:lvl>
    <w:lvl w:ilvl="4" w:tplc="BCA0C934">
      <w:start w:val="1"/>
      <w:numFmt w:val="lowerLetter"/>
      <w:lvlText w:val="%5."/>
      <w:lvlJc w:val="left"/>
      <w:pPr>
        <w:ind w:left="3600" w:hanging="360"/>
      </w:pPr>
    </w:lvl>
    <w:lvl w:ilvl="5" w:tplc="649C1154">
      <w:start w:val="1"/>
      <w:numFmt w:val="lowerRoman"/>
      <w:lvlText w:val="%6."/>
      <w:lvlJc w:val="right"/>
      <w:pPr>
        <w:ind w:left="4320" w:hanging="180"/>
      </w:pPr>
    </w:lvl>
    <w:lvl w:ilvl="6" w:tplc="009E16C8">
      <w:start w:val="1"/>
      <w:numFmt w:val="decimal"/>
      <w:lvlText w:val="%7."/>
      <w:lvlJc w:val="left"/>
      <w:pPr>
        <w:ind w:left="5040" w:hanging="360"/>
      </w:pPr>
    </w:lvl>
    <w:lvl w:ilvl="7" w:tplc="5A34F896">
      <w:start w:val="1"/>
      <w:numFmt w:val="lowerLetter"/>
      <w:lvlText w:val="%8."/>
      <w:lvlJc w:val="left"/>
      <w:pPr>
        <w:ind w:left="5760" w:hanging="360"/>
      </w:pPr>
    </w:lvl>
    <w:lvl w:ilvl="8" w:tplc="31362CA8">
      <w:start w:val="1"/>
      <w:numFmt w:val="lowerRoman"/>
      <w:lvlText w:val="%9."/>
      <w:lvlJc w:val="right"/>
      <w:pPr>
        <w:ind w:left="6480" w:hanging="180"/>
      </w:pPr>
    </w:lvl>
  </w:abstractNum>
  <w:abstractNum w:abstractNumId="9">
    <w:nsid w:val="418E140F"/>
    <w:multiLevelType w:val="hybridMultilevel"/>
    <w:tmpl w:val="C77C93E6"/>
    <w:lvl w:ilvl="0" w:tplc="54DA9332">
      <w:start w:val="1"/>
      <w:numFmt w:val="lowerLetter"/>
      <w:lvlText w:val="%1."/>
      <w:lvlJc w:val="left"/>
      <w:pPr>
        <w:ind w:left="1080" w:hanging="360"/>
      </w:pPr>
    </w:lvl>
    <w:lvl w:ilvl="1" w:tplc="5D304FCA">
      <w:start w:val="1"/>
      <w:numFmt w:val="lowerLetter"/>
      <w:lvlText w:val="%2."/>
      <w:lvlJc w:val="left"/>
      <w:pPr>
        <w:ind w:left="1800" w:hanging="360"/>
      </w:pPr>
    </w:lvl>
    <w:lvl w:ilvl="2" w:tplc="81D2D8A0">
      <w:start w:val="1"/>
      <w:numFmt w:val="lowerRoman"/>
      <w:lvlText w:val="%3."/>
      <w:lvlJc w:val="right"/>
      <w:pPr>
        <w:ind w:left="2520" w:hanging="180"/>
      </w:pPr>
    </w:lvl>
    <w:lvl w:ilvl="3" w:tplc="1FC65D54">
      <w:start w:val="1"/>
      <w:numFmt w:val="decimal"/>
      <w:lvlText w:val="%4."/>
      <w:lvlJc w:val="left"/>
      <w:pPr>
        <w:ind w:left="3240" w:hanging="360"/>
      </w:pPr>
    </w:lvl>
    <w:lvl w:ilvl="4" w:tplc="D2580E02">
      <w:start w:val="1"/>
      <w:numFmt w:val="lowerLetter"/>
      <w:lvlText w:val="%5."/>
      <w:lvlJc w:val="left"/>
      <w:pPr>
        <w:ind w:left="3960" w:hanging="360"/>
      </w:pPr>
    </w:lvl>
    <w:lvl w:ilvl="5" w:tplc="BC583430">
      <w:start w:val="1"/>
      <w:numFmt w:val="lowerRoman"/>
      <w:lvlText w:val="%6."/>
      <w:lvlJc w:val="right"/>
      <w:pPr>
        <w:ind w:left="4680" w:hanging="180"/>
      </w:pPr>
    </w:lvl>
    <w:lvl w:ilvl="6" w:tplc="A686EE3E">
      <w:start w:val="1"/>
      <w:numFmt w:val="decimal"/>
      <w:lvlText w:val="%7."/>
      <w:lvlJc w:val="left"/>
      <w:pPr>
        <w:ind w:left="5400" w:hanging="360"/>
      </w:pPr>
    </w:lvl>
    <w:lvl w:ilvl="7" w:tplc="60041586">
      <w:start w:val="1"/>
      <w:numFmt w:val="lowerLetter"/>
      <w:lvlText w:val="%8."/>
      <w:lvlJc w:val="left"/>
      <w:pPr>
        <w:ind w:left="6120" w:hanging="360"/>
      </w:pPr>
    </w:lvl>
    <w:lvl w:ilvl="8" w:tplc="39D049CE">
      <w:start w:val="1"/>
      <w:numFmt w:val="lowerRoman"/>
      <w:lvlText w:val="%9."/>
      <w:lvlJc w:val="right"/>
      <w:pPr>
        <w:ind w:left="6840" w:hanging="180"/>
      </w:pPr>
    </w:lvl>
  </w:abstractNum>
  <w:abstractNum w:abstractNumId="10">
    <w:nsid w:val="418E1945"/>
    <w:multiLevelType w:val="hybridMultilevel"/>
    <w:tmpl w:val="26666E88"/>
    <w:lvl w:ilvl="0" w:tplc="4E825398">
      <w:start w:val="1"/>
      <w:numFmt w:val="upperLetter"/>
      <w:lvlText w:val="%1."/>
      <w:lvlJc w:val="left"/>
      <w:pPr>
        <w:ind w:left="1080" w:hanging="360"/>
      </w:pPr>
    </w:lvl>
    <w:lvl w:ilvl="1" w:tplc="5D0AD888">
      <w:start w:val="1"/>
      <w:numFmt w:val="lowerLetter"/>
      <w:lvlText w:val="%2."/>
      <w:lvlJc w:val="left"/>
      <w:pPr>
        <w:ind w:left="1800" w:hanging="360"/>
      </w:pPr>
    </w:lvl>
    <w:lvl w:ilvl="2" w:tplc="81F2B2F0">
      <w:start w:val="1"/>
      <w:numFmt w:val="lowerRoman"/>
      <w:lvlText w:val="%3."/>
      <w:lvlJc w:val="right"/>
      <w:pPr>
        <w:ind w:left="2520" w:hanging="180"/>
      </w:pPr>
    </w:lvl>
    <w:lvl w:ilvl="3" w:tplc="4D7A9596">
      <w:start w:val="1"/>
      <w:numFmt w:val="decimal"/>
      <w:lvlText w:val="%4."/>
      <w:lvlJc w:val="left"/>
      <w:pPr>
        <w:ind w:left="3240" w:hanging="360"/>
      </w:pPr>
    </w:lvl>
    <w:lvl w:ilvl="4" w:tplc="2DD0F1EC">
      <w:start w:val="1"/>
      <w:numFmt w:val="lowerLetter"/>
      <w:lvlText w:val="%5."/>
      <w:lvlJc w:val="left"/>
      <w:pPr>
        <w:ind w:left="3960" w:hanging="360"/>
      </w:pPr>
    </w:lvl>
    <w:lvl w:ilvl="5" w:tplc="9B464716">
      <w:start w:val="1"/>
      <w:numFmt w:val="lowerRoman"/>
      <w:lvlText w:val="%6."/>
      <w:lvlJc w:val="right"/>
      <w:pPr>
        <w:ind w:left="4680" w:hanging="180"/>
      </w:pPr>
    </w:lvl>
    <w:lvl w:ilvl="6" w:tplc="91F4BCFE">
      <w:start w:val="1"/>
      <w:numFmt w:val="decimal"/>
      <w:lvlText w:val="%7."/>
      <w:lvlJc w:val="left"/>
      <w:pPr>
        <w:ind w:left="5400" w:hanging="360"/>
      </w:pPr>
    </w:lvl>
    <w:lvl w:ilvl="7" w:tplc="EBEA3922">
      <w:start w:val="1"/>
      <w:numFmt w:val="lowerLetter"/>
      <w:lvlText w:val="%8."/>
      <w:lvlJc w:val="left"/>
      <w:pPr>
        <w:ind w:left="6120" w:hanging="360"/>
      </w:pPr>
    </w:lvl>
    <w:lvl w:ilvl="8" w:tplc="2D8016B2">
      <w:start w:val="1"/>
      <w:numFmt w:val="lowerRoman"/>
      <w:lvlText w:val="%9."/>
      <w:lvlJc w:val="right"/>
      <w:pPr>
        <w:ind w:left="6840" w:hanging="180"/>
      </w:pPr>
    </w:lvl>
  </w:abstractNum>
  <w:abstractNum w:abstractNumId="11">
    <w:nsid w:val="464F13C2"/>
    <w:multiLevelType w:val="hybridMultilevel"/>
    <w:tmpl w:val="430ECA46"/>
    <w:lvl w:ilvl="0" w:tplc="8C76F28A">
      <w:start w:val="1"/>
      <w:numFmt w:val="upperLetter"/>
      <w:lvlText w:val="%1."/>
      <w:lvlJc w:val="left"/>
      <w:pPr>
        <w:ind w:left="720" w:hanging="360"/>
      </w:pPr>
    </w:lvl>
    <w:lvl w:ilvl="1" w:tplc="3BF0F8B4">
      <w:start w:val="1"/>
      <w:numFmt w:val="lowerLetter"/>
      <w:lvlText w:val="%2."/>
      <w:lvlJc w:val="left"/>
      <w:pPr>
        <w:ind w:left="1440" w:hanging="360"/>
      </w:pPr>
    </w:lvl>
    <w:lvl w:ilvl="2" w:tplc="A61A9E2A">
      <w:start w:val="1"/>
      <w:numFmt w:val="lowerRoman"/>
      <w:lvlText w:val="%3."/>
      <w:lvlJc w:val="right"/>
      <w:pPr>
        <w:ind w:left="2160" w:hanging="180"/>
      </w:pPr>
    </w:lvl>
    <w:lvl w:ilvl="3" w:tplc="475E33FE">
      <w:start w:val="1"/>
      <w:numFmt w:val="decimal"/>
      <w:lvlText w:val="%4."/>
      <w:lvlJc w:val="left"/>
      <w:pPr>
        <w:ind w:left="2880" w:hanging="360"/>
      </w:pPr>
    </w:lvl>
    <w:lvl w:ilvl="4" w:tplc="E70EA1A0">
      <w:start w:val="1"/>
      <w:numFmt w:val="lowerLetter"/>
      <w:lvlText w:val="%5."/>
      <w:lvlJc w:val="left"/>
      <w:pPr>
        <w:ind w:left="3600" w:hanging="360"/>
      </w:pPr>
    </w:lvl>
    <w:lvl w:ilvl="5" w:tplc="EBB290C4">
      <w:start w:val="1"/>
      <w:numFmt w:val="lowerRoman"/>
      <w:lvlText w:val="%6."/>
      <w:lvlJc w:val="right"/>
      <w:pPr>
        <w:ind w:left="4320" w:hanging="180"/>
      </w:pPr>
    </w:lvl>
    <w:lvl w:ilvl="6" w:tplc="4746DFF2">
      <w:start w:val="1"/>
      <w:numFmt w:val="decimal"/>
      <w:lvlText w:val="%7."/>
      <w:lvlJc w:val="left"/>
      <w:pPr>
        <w:ind w:left="5040" w:hanging="360"/>
      </w:pPr>
    </w:lvl>
    <w:lvl w:ilvl="7" w:tplc="EB7EDBE6">
      <w:start w:val="1"/>
      <w:numFmt w:val="lowerLetter"/>
      <w:lvlText w:val="%8."/>
      <w:lvlJc w:val="left"/>
      <w:pPr>
        <w:ind w:left="5760" w:hanging="360"/>
      </w:pPr>
    </w:lvl>
    <w:lvl w:ilvl="8" w:tplc="C6089E26">
      <w:start w:val="1"/>
      <w:numFmt w:val="lowerRoman"/>
      <w:lvlText w:val="%9."/>
      <w:lvlJc w:val="right"/>
      <w:pPr>
        <w:ind w:left="6480" w:hanging="180"/>
      </w:pPr>
    </w:lvl>
  </w:abstractNum>
  <w:abstractNum w:abstractNumId="12">
    <w:nsid w:val="47FB3B5F"/>
    <w:multiLevelType w:val="hybridMultilevel"/>
    <w:tmpl w:val="8DD83E2E"/>
    <w:lvl w:ilvl="0" w:tplc="F99ED454">
      <w:start w:val="1"/>
      <w:numFmt w:val="decimal"/>
      <w:lvlText w:val="%1."/>
      <w:lvlJc w:val="left"/>
      <w:pPr>
        <w:ind w:left="1080" w:hanging="360"/>
      </w:pPr>
    </w:lvl>
    <w:lvl w:ilvl="1" w:tplc="5122173A">
      <w:start w:val="1"/>
      <w:numFmt w:val="bullet"/>
      <w:lvlText w:val="o"/>
      <w:lvlJc w:val="left"/>
      <w:pPr>
        <w:ind w:left="1800" w:hanging="360"/>
      </w:pPr>
      <w:rPr>
        <w:rFonts w:ascii="Courier New" w:hAnsi="Courier New"/>
      </w:rPr>
    </w:lvl>
    <w:lvl w:ilvl="2" w:tplc="8928630A">
      <w:start w:val="1"/>
      <w:numFmt w:val="bullet"/>
      <w:lvlText w:val=""/>
      <w:lvlJc w:val="left"/>
      <w:pPr>
        <w:ind w:left="2520" w:hanging="360"/>
      </w:pPr>
      <w:rPr>
        <w:rFonts w:ascii="Wingdings" w:hAnsi="Wingdings"/>
      </w:rPr>
    </w:lvl>
    <w:lvl w:ilvl="3" w:tplc="DA9EA1A4">
      <w:start w:val="1"/>
      <w:numFmt w:val="bullet"/>
      <w:lvlText w:val=""/>
      <w:lvlJc w:val="left"/>
      <w:pPr>
        <w:ind w:left="3240" w:hanging="360"/>
      </w:pPr>
      <w:rPr>
        <w:rFonts w:ascii="Symbol" w:hAnsi="Symbol"/>
      </w:rPr>
    </w:lvl>
    <w:lvl w:ilvl="4" w:tplc="A1F47FAA">
      <w:start w:val="1"/>
      <w:numFmt w:val="bullet"/>
      <w:lvlText w:val="o"/>
      <w:lvlJc w:val="left"/>
      <w:pPr>
        <w:ind w:left="3960" w:hanging="360"/>
      </w:pPr>
      <w:rPr>
        <w:rFonts w:ascii="Courier New" w:hAnsi="Courier New"/>
      </w:rPr>
    </w:lvl>
    <w:lvl w:ilvl="5" w:tplc="42FC0D14">
      <w:start w:val="1"/>
      <w:numFmt w:val="bullet"/>
      <w:lvlText w:val=""/>
      <w:lvlJc w:val="left"/>
      <w:pPr>
        <w:ind w:left="4680" w:hanging="360"/>
      </w:pPr>
      <w:rPr>
        <w:rFonts w:ascii="Wingdings" w:hAnsi="Wingdings"/>
      </w:rPr>
    </w:lvl>
    <w:lvl w:ilvl="6" w:tplc="05D88008">
      <w:start w:val="1"/>
      <w:numFmt w:val="bullet"/>
      <w:lvlText w:val=""/>
      <w:lvlJc w:val="left"/>
      <w:pPr>
        <w:ind w:left="5400" w:hanging="360"/>
      </w:pPr>
      <w:rPr>
        <w:rFonts w:ascii="Symbol" w:hAnsi="Symbol"/>
      </w:rPr>
    </w:lvl>
    <w:lvl w:ilvl="7" w:tplc="2E2EE2E2">
      <w:start w:val="1"/>
      <w:numFmt w:val="bullet"/>
      <w:lvlText w:val="o"/>
      <w:lvlJc w:val="left"/>
      <w:pPr>
        <w:ind w:left="6120" w:hanging="360"/>
      </w:pPr>
      <w:rPr>
        <w:rFonts w:ascii="Courier New" w:hAnsi="Courier New"/>
      </w:rPr>
    </w:lvl>
    <w:lvl w:ilvl="8" w:tplc="A7B09978">
      <w:start w:val="1"/>
      <w:numFmt w:val="bullet"/>
      <w:lvlText w:val=""/>
      <w:lvlJc w:val="left"/>
      <w:pPr>
        <w:ind w:left="6840" w:hanging="360"/>
      </w:pPr>
      <w:rPr>
        <w:rFonts w:ascii="Wingdings" w:hAnsi="Wingdings"/>
      </w:rPr>
    </w:lvl>
  </w:abstractNum>
  <w:abstractNum w:abstractNumId="13">
    <w:nsid w:val="5A3F6076"/>
    <w:multiLevelType w:val="hybridMultilevel"/>
    <w:tmpl w:val="698CB016"/>
    <w:lvl w:ilvl="0" w:tplc="7F44E430">
      <w:start w:val="1"/>
      <w:numFmt w:val="decimal"/>
      <w:lvlText w:val="%1."/>
      <w:lvlJc w:val="left"/>
      <w:pPr>
        <w:ind w:left="1080" w:hanging="360"/>
      </w:pPr>
    </w:lvl>
    <w:lvl w:ilvl="1" w:tplc="A96AF872">
      <w:start w:val="1"/>
      <w:numFmt w:val="lowerLetter"/>
      <w:lvlText w:val="%2."/>
      <w:lvlJc w:val="left"/>
      <w:pPr>
        <w:ind w:left="1800" w:hanging="360"/>
      </w:pPr>
    </w:lvl>
    <w:lvl w:ilvl="2" w:tplc="DC7E55BC">
      <w:start w:val="1"/>
      <w:numFmt w:val="lowerRoman"/>
      <w:lvlText w:val="%3."/>
      <w:lvlJc w:val="right"/>
      <w:pPr>
        <w:ind w:left="2520" w:hanging="180"/>
      </w:pPr>
    </w:lvl>
    <w:lvl w:ilvl="3" w:tplc="5EFAFA54">
      <w:start w:val="1"/>
      <w:numFmt w:val="decimal"/>
      <w:lvlText w:val="%4."/>
      <w:lvlJc w:val="left"/>
      <w:pPr>
        <w:ind w:left="3240" w:hanging="360"/>
      </w:pPr>
    </w:lvl>
    <w:lvl w:ilvl="4" w:tplc="35323C9E">
      <w:start w:val="1"/>
      <w:numFmt w:val="lowerLetter"/>
      <w:lvlText w:val="%5."/>
      <w:lvlJc w:val="left"/>
      <w:pPr>
        <w:ind w:left="3960" w:hanging="360"/>
      </w:pPr>
    </w:lvl>
    <w:lvl w:ilvl="5" w:tplc="F666639C">
      <w:start w:val="1"/>
      <w:numFmt w:val="lowerRoman"/>
      <w:lvlText w:val="%6."/>
      <w:lvlJc w:val="right"/>
      <w:pPr>
        <w:ind w:left="4680" w:hanging="180"/>
      </w:pPr>
    </w:lvl>
    <w:lvl w:ilvl="6" w:tplc="DEC25AE4">
      <w:start w:val="1"/>
      <w:numFmt w:val="decimal"/>
      <w:lvlText w:val="%7."/>
      <w:lvlJc w:val="left"/>
      <w:pPr>
        <w:ind w:left="5400" w:hanging="360"/>
      </w:pPr>
    </w:lvl>
    <w:lvl w:ilvl="7" w:tplc="60529D22">
      <w:start w:val="1"/>
      <w:numFmt w:val="lowerLetter"/>
      <w:lvlText w:val="%8."/>
      <w:lvlJc w:val="left"/>
      <w:pPr>
        <w:ind w:left="6120" w:hanging="360"/>
      </w:pPr>
    </w:lvl>
    <w:lvl w:ilvl="8" w:tplc="CC7A0FA4">
      <w:start w:val="1"/>
      <w:numFmt w:val="lowerRoman"/>
      <w:lvlText w:val="%9."/>
      <w:lvlJc w:val="right"/>
      <w:pPr>
        <w:ind w:left="6840" w:hanging="180"/>
      </w:pPr>
    </w:lvl>
  </w:abstractNum>
  <w:abstractNum w:abstractNumId="14">
    <w:nsid w:val="615F4F95"/>
    <w:multiLevelType w:val="hybridMultilevel"/>
    <w:tmpl w:val="FEF83B44"/>
    <w:lvl w:ilvl="0" w:tplc="3CBC85C0">
      <w:start w:val="1"/>
      <w:numFmt w:val="bullet"/>
      <w:lvlText w:val="-"/>
      <w:lvlJc w:val="left"/>
      <w:pPr>
        <w:ind w:left="1080" w:hanging="360"/>
      </w:pPr>
      <w:rPr>
        <w:rFonts w:ascii="Times New Roman" w:hAnsi="Times New Roman"/>
      </w:rPr>
    </w:lvl>
    <w:lvl w:ilvl="1" w:tplc="85C69AE0">
      <w:start w:val="1"/>
      <w:numFmt w:val="bullet"/>
      <w:lvlText w:val="o"/>
      <w:lvlJc w:val="left"/>
      <w:pPr>
        <w:ind w:left="1800" w:hanging="360"/>
      </w:pPr>
      <w:rPr>
        <w:rFonts w:ascii="Courier New" w:hAnsi="Courier New"/>
      </w:rPr>
    </w:lvl>
    <w:lvl w:ilvl="2" w:tplc="139CB9A4">
      <w:start w:val="1"/>
      <w:numFmt w:val="bullet"/>
      <w:lvlText w:val=""/>
      <w:lvlJc w:val="left"/>
      <w:pPr>
        <w:ind w:left="2520" w:hanging="360"/>
      </w:pPr>
      <w:rPr>
        <w:rFonts w:ascii="Wingdings" w:hAnsi="Wingdings"/>
      </w:rPr>
    </w:lvl>
    <w:lvl w:ilvl="3" w:tplc="81B6B832">
      <w:start w:val="1"/>
      <w:numFmt w:val="bullet"/>
      <w:lvlText w:val=""/>
      <w:lvlJc w:val="left"/>
      <w:pPr>
        <w:ind w:left="3240" w:hanging="360"/>
      </w:pPr>
      <w:rPr>
        <w:rFonts w:ascii="Symbol" w:hAnsi="Symbol"/>
      </w:rPr>
    </w:lvl>
    <w:lvl w:ilvl="4" w:tplc="DF543E68">
      <w:start w:val="1"/>
      <w:numFmt w:val="bullet"/>
      <w:lvlText w:val="o"/>
      <w:lvlJc w:val="left"/>
      <w:pPr>
        <w:ind w:left="3960" w:hanging="360"/>
      </w:pPr>
      <w:rPr>
        <w:rFonts w:ascii="Courier New" w:hAnsi="Courier New"/>
      </w:rPr>
    </w:lvl>
    <w:lvl w:ilvl="5" w:tplc="A560C50C">
      <w:start w:val="1"/>
      <w:numFmt w:val="bullet"/>
      <w:lvlText w:val=""/>
      <w:lvlJc w:val="left"/>
      <w:pPr>
        <w:ind w:left="4680" w:hanging="360"/>
      </w:pPr>
      <w:rPr>
        <w:rFonts w:ascii="Wingdings" w:hAnsi="Wingdings"/>
      </w:rPr>
    </w:lvl>
    <w:lvl w:ilvl="6" w:tplc="E5B2915E">
      <w:start w:val="1"/>
      <w:numFmt w:val="bullet"/>
      <w:lvlText w:val=""/>
      <w:lvlJc w:val="left"/>
      <w:pPr>
        <w:ind w:left="5400" w:hanging="360"/>
      </w:pPr>
      <w:rPr>
        <w:rFonts w:ascii="Symbol" w:hAnsi="Symbol"/>
      </w:rPr>
    </w:lvl>
    <w:lvl w:ilvl="7" w:tplc="56206B98">
      <w:start w:val="1"/>
      <w:numFmt w:val="bullet"/>
      <w:lvlText w:val="o"/>
      <w:lvlJc w:val="left"/>
      <w:pPr>
        <w:ind w:left="6120" w:hanging="360"/>
      </w:pPr>
      <w:rPr>
        <w:rFonts w:ascii="Courier New" w:hAnsi="Courier New"/>
      </w:rPr>
    </w:lvl>
    <w:lvl w:ilvl="8" w:tplc="288C0A3A">
      <w:start w:val="1"/>
      <w:numFmt w:val="bullet"/>
      <w:lvlText w:val=""/>
      <w:lvlJc w:val="left"/>
      <w:pPr>
        <w:ind w:left="6840" w:hanging="360"/>
      </w:pPr>
      <w:rPr>
        <w:rFonts w:ascii="Wingdings" w:hAnsi="Wingdings"/>
      </w:rPr>
    </w:lvl>
  </w:abstractNum>
  <w:abstractNum w:abstractNumId="15">
    <w:nsid w:val="622E5810"/>
    <w:multiLevelType w:val="hybridMultilevel"/>
    <w:tmpl w:val="BE80EC92"/>
    <w:lvl w:ilvl="0" w:tplc="10828D60">
      <w:start w:val="1"/>
      <w:numFmt w:val="lowerLetter"/>
      <w:lvlText w:val="%1."/>
      <w:lvlJc w:val="left"/>
      <w:pPr>
        <w:ind w:left="1080" w:hanging="360"/>
      </w:pPr>
    </w:lvl>
    <w:lvl w:ilvl="1" w:tplc="474820BC">
      <w:start w:val="1"/>
      <w:numFmt w:val="lowerLetter"/>
      <w:lvlText w:val="%2."/>
      <w:lvlJc w:val="left"/>
      <w:pPr>
        <w:ind w:left="1800" w:hanging="360"/>
      </w:pPr>
    </w:lvl>
    <w:lvl w:ilvl="2" w:tplc="31FC0438">
      <w:start w:val="1"/>
      <w:numFmt w:val="lowerRoman"/>
      <w:lvlText w:val="%3."/>
      <w:lvlJc w:val="right"/>
      <w:pPr>
        <w:ind w:left="2520" w:hanging="180"/>
      </w:pPr>
    </w:lvl>
    <w:lvl w:ilvl="3" w:tplc="43662126">
      <w:start w:val="1"/>
      <w:numFmt w:val="decimal"/>
      <w:lvlText w:val="%4."/>
      <w:lvlJc w:val="left"/>
      <w:pPr>
        <w:ind w:left="3240" w:hanging="360"/>
      </w:pPr>
    </w:lvl>
    <w:lvl w:ilvl="4" w:tplc="02082A2E">
      <w:start w:val="1"/>
      <w:numFmt w:val="lowerLetter"/>
      <w:lvlText w:val="%5."/>
      <w:lvlJc w:val="left"/>
      <w:pPr>
        <w:ind w:left="3960" w:hanging="360"/>
      </w:pPr>
    </w:lvl>
    <w:lvl w:ilvl="5" w:tplc="883A95F0">
      <w:start w:val="1"/>
      <w:numFmt w:val="lowerRoman"/>
      <w:lvlText w:val="%6."/>
      <w:lvlJc w:val="right"/>
      <w:pPr>
        <w:ind w:left="4680" w:hanging="180"/>
      </w:pPr>
    </w:lvl>
    <w:lvl w:ilvl="6" w:tplc="A182A076">
      <w:start w:val="1"/>
      <w:numFmt w:val="decimal"/>
      <w:lvlText w:val="%7."/>
      <w:lvlJc w:val="left"/>
      <w:pPr>
        <w:ind w:left="5400" w:hanging="360"/>
      </w:pPr>
    </w:lvl>
    <w:lvl w:ilvl="7" w:tplc="6DEEC15E">
      <w:start w:val="1"/>
      <w:numFmt w:val="lowerLetter"/>
      <w:lvlText w:val="%8."/>
      <w:lvlJc w:val="left"/>
      <w:pPr>
        <w:ind w:left="6120" w:hanging="360"/>
      </w:pPr>
    </w:lvl>
    <w:lvl w:ilvl="8" w:tplc="E5F0DF8C">
      <w:start w:val="1"/>
      <w:numFmt w:val="lowerRoman"/>
      <w:lvlText w:val="%9."/>
      <w:lvlJc w:val="right"/>
      <w:pPr>
        <w:ind w:left="6840" w:hanging="180"/>
      </w:pPr>
    </w:lvl>
  </w:abstractNum>
  <w:abstractNum w:abstractNumId="16">
    <w:nsid w:val="64B8343B"/>
    <w:multiLevelType w:val="hybridMultilevel"/>
    <w:tmpl w:val="0952D2E8"/>
    <w:lvl w:ilvl="0" w:tplc="6C1AA8E0">
      <w:start w:val="1"/>
      <w:numFmt w:val="decimal"/>
      <w:lvlText w:val="%1."/>
      <w:lvlJc w:val="left"/>
      <w:pPr>
        <w:ind w:left="1080" w:hanging="360"/>
      </w:pPr>
    </w:lvl>
    <w:lvl w:ilvl="1" w:tplc="227AEC52">
      <w:start w:val="1"/>
      <w:numFmt w:val="lowerLetter"/>
      <w:lvlText w:val="%2."/>
      <w:lvlJc w:val="left"/>
      <w:pPr>
        <w:ind w:left="1800" w:hanging="360"/>
      </w:pPr>
    </w:lvl>
    <w:lvl w:ilvl="2" w:tplc="AA6EB86C">
      <w:start w:val="1"/>
      <w:numFmt w:val="lowerRoman"/>
      <w:lvlText w:val="%3."/>
      <w:lvlJc w:val="right"/>
      <w:pPr>
        <w:ind w:left="2520" w:hanging="180"/>
      </w:pPr>
    </w:lvl>
    <w:lvl w:ilvl="3" w:tplc="879020E8">
      <w:start w:val="1"/>
      <w:numFmt w:val="decimal"/>
      <w:lvlText w:val="%4."/>
      <w:lvlJc w:val="left"/>
      <w:pPr>
        <w:ind w:left="3240" w:hanging="360"/>
      </w:pPr>
    </w:lvl>
    <w:lvl w:ilvl="4" w:tplc="B5DAEB56">
      <w:start w:val="1"/>
      <w:numFmt w:val="lowerLetter"/>
      <w:lvlText w:val="%5."/>
      <w:lvlJc w:val="left"/>
      <w:pPr>
        <w:ind w:left="3960" w:hanging="360"/>
      </w:pPr>
    </w:lvl>
    <w:lvl w:ilvl="5" w:tplc="D7DEECB8">
      <w:start w:val="1"/>
      <w:numFmt w:val="lowerRoman"/>
      <w:lvlText w:val="%6."/>
      <w:lvlJc w:val="right"/>
      <w:pPr>
        <w:ind w:left="4680" w:hanging="180"/>
      </w:pPr>
    </w:lvl>
    <w:lvl w:ilvl="6" w:tplc="FADECDAA">
      <w:start w:val="1"/>
      <w:numFmt w:val="decimal"/>
      <w:lvlText w:val="%7."/>
      <w:lvlJc w:val="left"/>
      <w:pPr>
        <w:ind w:left="5400" w:hanging="360"/>
      </w:pPr>
    </w:lvl>
    <w:lvl w:ilvl="7" w:tplc="9EFC9D90">
      <w:start w:val="1"/>
      <w:numFmt w:val="lowerLetter"/>
      <w:lvlText w:val="%8."/>
      <w:lvlJc w:val="left"/>
      <w:pPr>
        <w:ind w:left="6120" w:hanging="360"/>
      </w:pPr>
    </w:lvl>
    <w:lvl w:ilvl="8" w:tplc="2D3CC2EE">
      <w:start w:val="1"/>
      <w:numFmt w:val="lowerRoman"/>
      <w:lvlText w:val="%9."/>
      <w:lvlJc w:val="right"/>
      <w:pPr>
        <w:ind w:left="6840" w:hanging="180"/>
      </w:pPr>
    </w:lvl>
  </w:abstractNum>
  <w:abstractNum w:abstractNumId="17">
    <w:nsid w:val="6AE10CDB"/>
    <w:multiLevelType w:val="multilevel"/>
    <w:tmpl w:val="E8F8365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6C926290"/>
    <w:multiLevelType w:val="hybridMultilevel"/>
    <w:tmpl w:val="54EE9138"/>
    <w:lvl w:ilvl="0" w:tplc="F1F608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791C77B4"/>
    <w:multiLevelType w:val="hybridMultilevel"/>
    <w:tmpl w:val="A544D4F4"/>
    <w:lvl w:ilvl="0" w:tplc="B978B086">
      <w:start w:val="1"/>
      <w:numFmt w:val="lowerLetter"/>
      <w:lvlText w:val="%1."/>
      <w:lvlJc w:val="left"/>
      <w:pPr>
        <w:ind w:left="1080" w:hanging="360"/>
      </w:pPr>
    </w:lvl>
    <w:lvl w:ilvl="1" w:tplc="B914D074">
      <w:start w:val="1"/>
      <w:numFmt w:val="lowerLetter"/>
      <w:lvlText w:val="%2."/>
      <w:lvlJc w:val="left"/>
      <w:pPr>
        <w:ind w:left="1800" w:hanging="360"/>
      </w:pPr>
    </w:lvl>
    <w:lvl w:ilvl="2" w:tplc="AE929AA4">
      <w:start w:val="1"/>
      <w:numFmt w:val="lowerRoman"/>
      <w:lvlText w:val="%3."/>
      <w:lvlJc w:val="right"/>
      <w:pPr>
        <w:ind w:left="2520" w:hanging="180"/>
      </w:pPr>
    </w:lvl>
    <w:lvl w:ilvl="3" w:tplc="F3C0A10C">
      <w:start w:val="1"/>
      <w:numFmt w:val="decimal"/>
      <w:lvlText w:val="%4."/>
      <w:lvlJc w:val="left"/>
      <w:pPr>
        <w:ind w:left="3240" w:hanging="360"/>
      </w:pPr>
    </w:lvl>
    <w:lvl w:ilvl="4" w:tplc="EAE4CC18">
      <w:start w:val="1"/>
      <w:numFmt w:val="lowerLetter"/>
      <w:lvlText w:val="%5."/>
      <w:lvlJc w:val="left"/>
      <w:pPr>
        <w:ind w:left="3960" w:hanging="360"/>
      </w:pPr>
    </w:lvl>
    <w:lvl w:ilvl="5" w:tplc="3E188DC0">
      <w:start w:val="1"/>
      <w:numFmt w:val="lowerRoman"/>
      <w:lvlText w:val="%6."/>
      <w:lvlJc w:val="right"/>
      <w:pPr>
        <w:ind w:left="4680" w:hanging="180"/>
      </w:pPr>
    </w:lvl>
    <w:lvl w:ilvl="6" w:tplc="A3F0AA2C">
      <w:start w:val="1"/>
      <w:numFmt w:val="decimal"/>
      <w:lvlText w:val="%7."/>
      <w:lvlJc w:val="left"/>
      <w:pPr>
        <w:ind w:left="5400" w:hanging="360"/>
      </w:pPr>
    </w:lvl>
    <w:lvl w:ilvl="7" w:tplc="F8AC6982">
      <w:start w:val="1"/>
      <w:numFmt w:val="lowerLetter"/>
      <w:lvlText w:val="%8."/>
      <w:lvlJc w:val="left"/>
      <w:pPr>
        <w:ind w:left="6120" w:hanging="360"/>
      </w:pPr>
    </w:lvl>
    <w:lvl w:ilvl="8" w:tplc="13F276BE">
      <w:start w:val="1"/>
      <w:numFmt w:val="lowerRoman"/>
      <w:lvlText w:val="%9."/>
      <w:lvlJc w:val="right"/>
      <w:pPr>
        <w:ind w:left="6840" w:hanging="180"/>
      </w:pPr>
    </w:lvl>
  </w:abstractNum>
  <w:abstractNum w:abstractNumId="20">
    <w:nsid w:val="7BA425D1"/>
    <w:multiLevelType w:val="hybridMultilevel"/>
    <w:tmpl w:val="C3982A10"/>
    <w:lvl w:ilvl="0" w:tplc="A7249244">
      <w:start w:val="1"/>
      <w:numFmt w:val="decimal"/>
      <w:lvlText w:val="%1."/>
      <w:lvlJc w:val="left"/>
      <w:pPr>
        <w:ind w:left="1080" w:hanging="360"/>
      </w:pPr>
    </w:lvl>
    <w:lvl w:ilvl="1" w:tplc="A2E6B8F2">
      <w:start w:val="1"/>
      <w:numFmt w:val="lowerLetter"/>
      <w:lvlText w:val="%2."/>
      <w:lvlJc w:val="left"/>
      <w:pPr>
        <w:ind w:left="1800" w:hanging="360"/>
      </w:pPr>
    </w:lvl>
    <w:lvl w:ilvl="2" w:tplc="ABEC3240">
      <w:start w:val="1"/>
      <w:numFmt w:val="lowerRoman"/>
      <w:lvlText w:val="%3."/>
      <w:lvlJc w:val="right"/>
      <w:pPr>
        <w:ind w:left="2520" w:hanging="180"/>
      </w:pPr>
    </w:lvl>
    <w:lvl w:ilvl="3" w:tplc="1D2207CE">
      <w:start w:val="1"/>
      <w:numFmt w:val="decimal"/>
      <w:lvlText w:val="%4."/>
      <w:lvlJc w:val="left"/>
      <w:pPr>
        <w:ind w:left="3240" w:hanging="360"/>
      </w:pPr>
    </w:lvl>
    <w:lvl w:ilvl="4" w:tplc="E20A5B08">
      <w:start w:val="1"/>
      <w:numFmt w:val="lowerLetter"/>
      <w:lvlText w:val="%5."/>
      <w:lvlJc w:val="left"/>
      <w:pPr>
        <w:ind w:left="3960" w:hanging="360"/>
      </w:pPr>
    </w:lvl>
    <w:lvl w:ilvl="5" w:tplc="B7E68CBE">
      <w:start w:val="1"/>
      <w:numFmt w:val="lowerRoman"/>
      <w:lvlText w:val="%6."/>
      <w:lvlJc w:val="right"/>
      <w:pPr>
        <w:ind w:left="4680" w:hanging="180"/>
      </w:pPr>
    </w:lvl>
    <w:lvl w:ilvl="6" w:tplc="BEA65DD4">
      <w:start w:val="1"/>
      <w:numFmt w:val="decimal"/>
      <w:lvlText w:val="%7."/>
      <w:lvlJc w:val="left"/>
      <w:pPr>
        <w:ind w:left="5400" w:hanging="360"/>
      </w:pPr>
    </w:lvl>
    <w:lvl w:ilvl="7" w:tplc="E6CA6750">
      <w:start w:val="1"/>
      <w:numFmt w:val="lowerLetter"/>
      <w:lvlText w:val="%8."/>
      <w:lvlJc w:val="left"/>
      <w:pPr>
        <w:ind w:left="6120" w:hanging="360"/>
      </w:pPr>
    </w:lvl>
    <w:lvl w:ilvl="8" w:tplc="C732548A">
      <w:start w:val="1"/>
      <w:numFmt w:val="lowerRoman"/>
      <w:lvlText w:val="%9."/>
      <w:lvlJc w:val="right"/>
      <w:pPr>
        <w:ind w:left="6840" w:hanging="180"/>
      </w:pPr>
    </w:lvl>
  </w:abstractNum>
  <w:num w:numId="1">
    <w:abstractNumId w:val="8"/>
  </w:num>
  <w:num w:numId="2">
    <w:abstractNumId w:val="15"/>
  </w:num>
  <w:num w:numId="3">
    <w:abstractNumId w:val="19"/>
  </w:num>
  <w:num w:numId="4">
    <w:abstractNumId w:val="14"/>
  </w:num>
  <w:num w:numId="5">
    <w:abstractNumId w:val="12"/>
  </w:num>
  <w:num w:numId="6">
    <w:abstractNumId w:val="10"/>
  </w:num>
  <w:num w:numId="7">
    <w:abstractNumId w:val="5"/>
  </w:num>
  <w:num w:numId="8">
    <w:abstractNumId w:val="11"/>
  </w:num>
  <w:num w:numId="9">
    <w:abstractNumId w:val="7"/>
  </w:num>
  <w:num w:numId="10">
    <w:abstractNumId w:val="4"/>
  </w:num>
  <w:num w:numId="11">
    <w:abstractNumId w:val="1"/>
  </w:num>
  <w:num w:numId="12">
    <w:abstractNumId w:val="13"/>
  </w:num>
  <w:num w:numId="13">
    <w:abstractNumId w:val="16"/>
  </w:num>
  <w:num w:numId="14">
    <w:abstractNumId w:val="20"/>
  </w:num>
  <w:num w:numId="15">
    <w:abstractNumId w:val="17"/>
  </w:num>
  <w:num w:numId="16">
    <w:abstractNumId w:val="17"/>
  </w:num>
  <w:num w:numId="17">
    <w:abstractNumId w:val="9"/>
  </w:num>
  <w:num w:numId="18">
    <w:abstractNumId w:val="18"/>
  </w:num>
  <w:num w:numId="19">
    <w:abstractNumId w:val="3"/>
  </w:num>
  <w:num w:numId="20">
    <w:abstractNumId w:val="0"/>
  </w:num>
  <w:num w:numId="21">
    <w:abstractNumId w:val="6"/>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6ACF"/>
    <w:rsid w:val="00015A42"/>
    <w:rsid w:val="00055171"/>
    <w:rsid w:val="00057C20"/>
    <w:rsid w:val="00075D76"/>
    <w:rsid w:val="00087C31"/>
    <w:rsid w:val="000B2EDA"/>
    <w:rsid w:val="000C73AF"/>
    <w:rsid w:val="00111207"/>
    <w:rsid w:val="001309C5"/>
    <w:rsid w:val="001654F0"/>
    <w:rsid w:val="00175809"/>
    <w:rsid w:val="00186D7E"/>
    <w:rsid w:val="00191373"/>
    <w:rsid w:val="00193585"/>
    <w:rsid w:val="0019671C"/>
    <w:rsid w:val="00197958"/>
    <w:rsid w:val="001A47D2"/>
    <w:rsid w:val="001B3283"/>
    <w:rsid w:val="001C0D0D"/>
    <w:rsid w:val="001D4A4B"/>
    <w:rsid w:val="00204108"/>
    <w:rsid w:val="00220A43"/>
    <w:rsid w:val="00224E34"/>
    <w:rsid w:val="0024398A"/>
    <w:rsid w:val="00247FF0"/>
    <w:rsid w:val="002549BC"/>
    <w:rsid w:val="002607A0"/>
    <w:rsid w:val="00272941"/>
    <w:rsid w:val="002C0935"/>
    <w:rsid w:val="002D5A88"/>
    <w:rsid w:val="00300DE0"/>
    <w:rsid w:val="003033F8"/>
    <w:rsid w:val="00313AEB"/>
    <w:rsid w:val="003378A8"/>
    <w:rsid w:val="0034141D"/>
    <w:rsid w:val="0039655E"/>
    <w:rsid w:val="003A6A5A"/>
    <w:rsid w:val="003B6B3A"/>
    <w:rsid w:val="003C0FD3"/>
    <w:rsid w:val="003D09DE"/>
    <w:rsid w:val="003E015B"/>
    <w:rsid w:val="003E12B2"/>
    <w:rsid w:val="00462E0B"/>
    <w:rsid w:val="00487109"/>
    <w:rsid w:val="004961E2"/>
    <w:rsid w:val="00496AB2"/>
    <w:rsid w:val="004B044D"/>
    <w:rsid w:val="004B132E"/>
    <w:rsid w:val="004B590E"/>
    <w:rsid w:val="004C4A86"/>
    <w:rsid w:val="004C7DB1"/>
    <w:rsid w:val="004D546A"/>
    <w:rsid w:val="004E2DEB"/>
    <w:rsid w:val="004F113B"/>
    <w:rsid w:val="0051781C"/>
    <w:rsid w:val="005234DF"/>
    <w:rsid w:val="0053644C"/>
    <w:rsid w:val="005667C6"/>
    <w:rsid w:val="00573272"/>
    <w:rsid w:val="00585A35"/>
    <w:rsid w:val="005A2D9F"/>
    <w:rsid w:val="005A3BF6"/>
    <w:rsid w:val="005A3D88"/>
    <w:rsid w:val="005A54E0"/>
    <w:rsid w:val="005C2F4B"/>
    <w:rsid w:val="005D6275"/>
    <w:rsid w:val="0060312B"/>
    <w:rsid w:val="00623A5C"/>
    <w:rsid w:val="00651F88"/>
    <w:rsid w:val="00662199"/>
    <w:rsid w:val="006958F3"/>
    <w:rsid w:val="006C2F17"/>
    <w:rsid w:val="006F133E"/>
    <w:rsid w:val="007112E2"/>
    <w:rsid w:val="00734044"/>
    <w:rsid w:val="007410CD"/>
    <w:rsid w:val="00775E8C"/>
    <w:rsid w:val="00783A49"/>
    <w:rsid w:val="007876A8"/>
    <w:rsid w:val="00797FC0"/>
    <w:rsid w:val="007C4CBE"/>
    <w:rsid w:val="007D480A"/>
    <w:rsid w:val="007F16E1"/>
    <w:rsid w:val="00807AC9"/>
    <w:rsid w:val="00813023"/>
    <w:rsid w:val="0082606A"/>
    <w:rsid w:val="008372B4"/>
    <w:rsid w:val="00882088"/>
    <w:rsid w:val="008850CE"/>
    <w:rsid w:val="008878B2"/>
    <w:rsid w:val="00896363"/>
    <w:rsid w:val="008A3C64"/>
    <w:rsid w:val="008A5C14"/>
    <w:rsid w:val="009316DE"/>
    <w:rsid w:val="00954630"/>
    <w:rsid w:val="009821A5"/>
    <w:rsid w:val="009E3094"/>
    <w:rsid w:val="00A23FA0"/>
    <w:rsid w:val="00A512B3"/>
    <w:rsid w:val="00A708B3"/>
    <w:rsid w:val="00A72C98"/>
    <w:rsid w:val="00A96370"/>
    <w:rsid w:val="00AB172E"/>
    <w:rsid w:val="00AB1C6B"/>
    <w:rsid w:val="00AB625F"/>
    <w:rsid w:val="00AC00EF"/>
    <w:rsid w:val="00AC3935"/>
    <w:rsid w:val="00AD67A3"/>
    <w:rsid w:val="00AE436E"/>
    <w:rsid w:val="00AF20EE"/>
    <w:rsid w:val="00B0424E"/>
    <w:rsid w:val="00B1678C"/>
    <w:rsid w:val="00B16C9F"/>
    <w:rsid w:val="00B34F80"/>
    <w:rsid w:val="00B41636"/>
    <w:rsid w:val="00B72238"/>
    <w:rsid w:val="00B739FA"/>
    <w:rsid w:val="00B82A69"/>
    <w:rsid w:val="00B91DB7"/>
    <w:rsid w:val="00BB0B55"/>
    <w:rsid w:val="00BB2591"/>
    <w:rsid w:val="00BB262A"/>
    <w:rsid w:val="00BC1FBA"/>
    <w:rsid w:val="00BC716E"/>
    <w:rsid w:val="00BE2AEE"/>
    <w:rsid w:val="00C03CDA"/>
    <w:rsid w:val="00C37FC2"/>
    <w:rsid w:val="00C4424C"/>
    <w:rsid w:val="00C73E4A"/>
    <w:rsid w:val="00CB182C"/>
    <w:rsid w:val="00CB3BA5"/>
    <w:rsid w:val="00CD13BC"/>
    <w:rsid w:val="00CD6E26"/>
    <w:rsid w:val="00CF423D"/>
    <w:rsid w:val="00D01DE3"/>
    <w:rsid w:val="00D02580"/>
    <w:rsid w:val="00D13993"/>
    <w:rsid w:val="00D15413"/>
    <w:rsid w:val="00D267A5"/>
    <w:rsid w:val="00D331FB"/>
    <w:rsid w:val="00D400F5"/>
    <w:rsid w:val="00D4717B"/>
    <w:rsid w:val="00D56899"/>
    <w:rsid w:val="00D633A2"/>
    <w:rsid w:val="00D754AB"/>
    <w:rsid w:val="00D810C3"/>
    <w:rsid w:val="00DF2060"/>
    <w:rsid w:val="00E067E5"/>
    <w:rsid w:val="00E3537B"/>
    <w:rsid w:val="00E37D3B"/>
    <w:rsid w:val="00E44752"/>
    <w:rsid w:val="00E45A6B"/>
    <w:rsid w:val="00E603E8"/>
    <w:rsid w:val="00E74229"/>
    <w:rsid w:val="00E76583"/>
    <w:rsid w:val="00E86B73"/>
    <w:rsid w:val="00EA0993"/>
    <w:rsid w:val="00ED0086"/>
    <w:rsid w:val="00EE2C48"/>
    <w:rsid w:val="00EE4F7A"/>
    <w:rsid w:val="00F12C65"/>
    <w:rsid w:val="00F15C70"/>
    <w:rsid w:val="00F16EA5"/>
    <w:rsid w:val="00F34123"/>
    <w:rsid w:val="00F42931"/>
    <w:rsid w:val="00F43C4E"/>
    <w:rsid w:val="00F61784"/>
    <w:rsid w:val="00F74486"/>
    <w:rsid w:val="00F934CA"/>
    <w:rsid w:val="00FA6ACF"/>
    <w:rsid w:val="00FB14B5"/>
    <w:rsid w:val="00FD14A4"/>
    <w:rsid w:val="00FD515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CB7C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6ACF"/>
    <w:pPr>
      <w:spacing w:after="0" w:line="48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A6ACF"/>
    <w:pPr>
      <w:ind w:left="720"/>
      <w:contextualSpacing/>
    </w:pPr>
  </w:style>
  <w:style w:type="paragraph" w:styleId="NoSpacing">
    <w:name w:val="No Spacing"/>
    <w:uiPriority w:val="1"/>
    <w:qFormat/>
    <w:rsid w:val="00FA6ACF"/>
    <w:pPr>
      <w:spacing w:after="0" w:line="240" w:lineRule="auto"/>
    </w:pPr>
    <w:rPr>
      <w:rFonts w:ascii="Times New Roman" w:hAnsi="Times New Roman"/>
      <w:sz w:val="24"/>
    </w:rPr>
  </w:style>
  <w:style w:type="table" w:customStyle="1" w:styleId="TableGrid1">
    <w:name w:val="Table Grid1"/>
    <w:basedOn w:val="TableNormal"/>
    <w:next w:val="TableGrid"/>
    <w:uiPriority w:val="59"/>
    <w:rsid w:val="00FA6ACF"/>
    <w:pPr>
      <w:spacing w:after="0" w:line="240" w:lineRule="auto"/>
    </w:pPr>
    <w:rPr>
      <w:rFonts w:ascii="Times New Roman"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FA6A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A6ACF"/>
    <w:pPr>
      <w:tabs>
        <w:tab w:val="center" w:pos="4680"/>
        <w:tab w:val="right" w:pos="9360"/>
      </w:tabs>
      <w:spacing w:line="240" w:lineRule="auto"/>
    </w:pPr>
  </w:style>
  <w:style w:type="character" w:customStyle="1" w:styleId="HeaderChar">
    <w:name w:val="Header Char"/>
    <w:basedOn w:val="DefaultParagraphFont"/>
    <w:link w:val="Header"/>
    <w:uiPriority w:val="99"/>
    <w:rsid w:val="00FA6ACF"/>
    <w:rPr>
      <w:rFonts w:ascii="Times New Roman" w:hAnsi="Times New Roman"/>
      <w:sz w:val="24"/>
    </w:rPr>
  </w:style>
  <w:style w:type="paragraph" w:styleId="Footer">
    <w:name w:val="footer"/>
    <w:basedOn w:val="Normal"/>
    <w:link w:val="FooterChar"/>
    <w:uiPriority w:val="99"/>
    <w:unhideWhenUsed/>
    <w:rsid w:val="00FA6ACF"/>
    <w:pPr>
      <w:tabs>
        <w:tab w:val="center" w:pos="4680"/>
        <w:tab w:val="right" w:pos="9360"/>
      </w:tabs>
      <w:spacing w:line="240" w:lineRule="auto"/>
    </w:pPr>
  </w:style>
  <w:style w:type="character" w:customStyle="1" w:styleId="FooterChar">
    <w:name w:val="Footer Char"/>
    <w:basedOn w:val="DefaultParagraphFont"/>
    <w:link w:val="Footer"/>
    <w:uiPriority w:val="99"/>
    <w:rsid w:val="00FA6ACF"/>
    <w:rPr>
      <w:rFonts w:ascii="Times New Roman" w:hAnsi="Times New Roman"/>
      <w:sz w:val="24"/>
    </w:rPr>
  </w:style>
  <w:style w:type="character" w:styleId="Hyperlink">
    <w:name w:val="Hyperlink"/>
    <w:basedOn w:val="DefaultParagraphFont"/>
    <w:uiPriority w:val="99"/>
    <w:unhideWhenUsed/>
    <w:rsid w:val="003D09DE"/>
    <w:rPr>
      <w:color w:val="0000FF" w:themeColor="hyperlink"/>
      <w:u w:val="single"/>
    </w:rPr>
  </w:style>
  <w:style w:type="paragraph" w:styleId="BalloonText">
    <w:name w:val="Balloon Text"/>
    <w:basedOn w:val="Normal"/>
    <w:link w:val="BalloonTextChar"/>
    <w:uiPriority w:val="99"/>
    <w:semiHidden/>
    <w:unhideWhenUsed/>
    <w:rsid w:val="006958F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58F3"/>
    <w:rPr>
      <w:rFonts w:ascii="Tahoma" w:hAnsi="Tahoma" w:cs="Tahoma"/>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6ACF"/>
    <w:pPr>
      <w:spacing w:after="0" w:line="48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A6ACF"/>
    <w:pPr>
      <w:ind w:left="720"/>
      <w:contextualSpacing/>
    </w:pPr>
  </w:style>
  <w:style w:type="paragraph" w:styleId="NoSpacing">
    <w:name w:val="No Spacing"/>
    <w:uiPriority w:val="1"/>
    <w:qFormat/>
    <w:rsid w:val="00FA6ACF"/>
    <w:pPr>
      <w:spacing w:after="0" w:line="240" w:lineRule="auto"/>
    </w:pPr>
    <w:rPr>
      <w:rFonts w:ascii="Times New Roman" w:hAnsi="Times New Roman"/>
      <w:sz w:val="24"/>
    </w:rPr>
  </w:style>
  <w:style w:type="table" w:customStyle="1" w:styleId="TableGrid1">
    <w:name w:val="Table Grid1"/>
    <w:basedOn w:val="TableNormal"/>
    <w:next w:val="TableGrid"/>
    <w:uiPriority w:val="59"/>
    <w:rsid w:val="00FA6ACF"/>
    <w:pPr>
      <w:spacing w:after="0" w:line="240" w:lineRule="auto"/>
    </w:pPr>
    <w:rPr>
      <w:rFonts w:ascii="Times New Roman"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FA6A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A6ACF"/>
    <w:pPr>
      <w:tabs>
        <w:tab w:val="center" w:pos="4680"/>
        <w:tab w:val="right" w:pos="9360"/>
      </w:tabs>
      <w:spacing w:line="240" w:lineRule="auto"/>
    </w:pPr>
  </w:style>
  <w:style w:type="character" w:customStyle="1" w:styleId="HeaderChar">
    <w:name w:val="Header Char"/>
    <w:basedOn w:val="DefaultParagraphFont"/>
    <w:link w:val="Header"/>
    <w:uiPriority w:val="99"/>
    <w:rsid w:val="00FA6ACF"/>
    <w:rPr>
      <w:rFonts w:ascii="Times New Roman" w:hAnsi="Times New Roman"/>
      <w:sz w:val="24"/>
    </w:rPr>
  </w:style>
  <w:style w:type="paragraph" w:styleId="Footer">
    <w:name w:val="footer"/>
    <w:basedOn w:val="Normal"/>
    <w:link w:val="FooterChar"/>
    <w:uiPriority w:val="99"/>
    <w:unhideWhenUsed/>
    <w:rsid w:val="00FA6ACF"/>
    <w:pPr>
      <w:tabs>
        <w:tab w:val="center" w:pos="4680"/>
        <w:tab w:val="right" w:pos="9360"/>
      </w:tabs>
      <w:spacing w:line="240" w:lineRule="auto"/>
    </w:pPr>
  </w:style>
  <w:style w:type="character" w:customStyle="1" w:styleId="FooterChar">
    <w:name w:val="Footer Char"/>
    <w:basedOn w:val="DefaultParagraphFont"/>
    <w:link w:val="Footer"/>
    <w:uiPriority w:val="99"/>
    <w:rsid w:val="00FA6ACF"/>
    <w:rPr>
      <w:rFonts w:ascii="Times New Roman" w:hAnsi="Times New Roman"/>
      <w:sz w:val="24"/>
    </w:rPr>
  </w:style>
  <w:style w:type="character" w:styleId="Hyperlink">
    <w:name w:val="Hyperlink"/>
    <w:basedOn w:val="DefaultParagraphFont"/>
    <w:uiPriority w:val="99"/>
    <w:unhideWhenUsed/>
    <w:rsid w:val="003D09DE"/>
    <w:rPr>
      <w:color w:val="0000FF" w:themeColor="hyperlink"/>
      <w:u w:val="single"/>
    </w:rPr>
  </w:style>
  <w:style w:type="paragraph" w:styleId="BalloonText">
    <w:name w:val="Balloon Text"/>
    <w:basedOn w:val="Normal"/>
    <w:link w:val="BalloonTextChar"/>
    <w:uiPriority w:val="99"/>
    <w:semiHidden/>
    <w:unhideWhenUsed/>
    <w:rsid w:val="006958F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58F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0119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westlaw.com/Link/Document/FullText?findType=Y&amp;pubNum=0100014&amp;cite=HRREP51-374&amp;originationContext=document&amp;vr=3.0&amp;rs=cblt1.0&amp;transitionType=DocumentItem&amp;contextData=(sc.Search)" TargetMode="External"/><Relationship Id="rId10" Type="http://schemas.openxmlformats.org/officeDocument/2006/relationships/hyperlink" Target="http://www.westlaw.com/Link/Document/FullText?findType=Y&amp;pubNum=0100014&amp;cite=HRREP51-374&amp;originationContext=document&amp;vr=3.0&amp;rs=cblt1.0&amp;transitionType=DocumentItem&amp;contextData=(sc.Sear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14DB6D52-3A16-654D-946D-1BAC2415A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4618</Words>
  <Characters>22909</Characters>
  <Application>Microsoft Macintosh Word</Application>
  <DocSecurity>0</DocSecurity>
  <Lines>352</Lines>
  <Paragraphs>82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27445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2012-03-28T18:56:00Z</cp:lastPrinted>
  <dcterms:created xsi:type="dcterms:W3CDTF">2012-04-18T15:09:00Z</dcterms:created>
  <dcterms:modified xsi:type="dcterms:W3CDTF">2012-06-02T13:43:00Z</dcterms:modified>
  <cp:category/>
</cp:coreProperties>
</file>